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/>
          <w:b/>
          <w:sz w:val="24"/>
          <w:szCs w:val="24"/>
        </w:rPr>
        <w:t>(требования к продукции)</w:t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spacing w:before="0"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/>
          <w:b/>
          <w:bCs/>
          <w:i/>
          <w:iCs/>
          <w:sz w:val="24"/>
          <w:szCs w:val="24"/>
          <w:shd w:fill="auto" w:val="clear"/>
          <w:lang w:val="x-none" w:eastAsia="x-none"/>
        </w:rPr>
        <w:t xml:space="preserve">ОКПД2 71.12.13. Выполнение </w:t>
      </w:r>
      <w:r>
        <w:rPr>
          <w:rFonts w:eastAsia="Liberation Serif" w:cs="Liberation Serif"/>
          <w:b/>
          <w:bCs/>
          <w:i/>
          <w:iCs/>
          <w:color w:val="000000"/>
          <w:sz w:val="24"/>
          <w:szCs w:val="24"/>
          <w:shd w:fill="FFFFFF" w:val="clear"/>
          <w:lang w:val="x-none" w:eastAsia="x-none"/>
        </w:rPr>
        <w:t xml:space="preserve">проектной и рабочей документации (включая инженерные изыскания) по объекту «Строительство КЛ-6 кВ от РУ-6 кВ ПС 110/35/6 кВ "Южная" ячейка новая - 0,9 км (в том числе ГНБ 0,28 км); монтаж линейного разъединителя 6 кВ на опоре - 1 шт.; монтаж коммерческого учета 6 кВ - 1 шт. </w:t>
        <w:tab/>
        <w:t>Реконструкция РУ-6 кВ ПС 110/35/6 кВ "Южная" с заменой в яч. №11 вакуумного выключателя - 1 шт. и трансформаторов тока - 3 шт. для заявителя АО СПК в рамках реализации инвестиционных проектов (P_27-ХЭС-5855, Q_27-ХЭС-5856)</w:t>
      </w:r>
      <w:r>
        <w:rPr>
          <w:rFonts w:eastAsia="Calibri"/>
          <w:b/>
          <w:bCs/>
          <w:i w:val="false"/>
          <w:iCs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  <w:lang w:val="x-none" w:eastAsia="x-none"/>
        </w:rPr>
        <w:t>»</w:t>
      </w:r>
    </w:p>
    <w:p>
      <w:pPr>
        <w:pStyle w:val="Normal"/>
        <w:ind w:left="57" w:right="126" w:hanging="0"/>
        <w:jc w:val="center"/>
        <w:rPr>
          <w:rFonts w:ascii="Times New Roman" w:hAnsi="Times New Roman"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>
        <w:rPr>
          <w:rFonts w:eastAsia="Calibri"/>
          <w:b/>
          <w:i/>
          <w:iCs/>
          <w:sz w:val="24"/>
          <w:szCs w:val="24"/>
        </w:rPr>
        <w:t xml:space="preserve">Лот №________  </w:t>
      </w:r>
      <w:r>
        <w:rPr>
          <w:rFonts w:eastAsia="Calibri"/>
          <w:b w:val="false"/>
          <w:i/>
          <w:iCs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-__</w:t>
      </w:r>
      <w:r>
        <w:rPr>
          <w:b w:val="false"/>
          <w:i/>
          <w:iCs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 ТПИР ___-2026-ДРСК-ХЭС </w:t>
      </w:r>
    </w:p>
    <w:p>
      <w:pPr>
        <w:pStyle w:val="Normal"/>
        <w:ind w:left="57" w:right="126" w:hanging="0"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TOC1"/>
        <w:tabs>
          <w:tab w:val="clear" w:pos="560"/>
          <w:tab w:val="left" w:pos="567" w:leader="none"/>
          <w:tab w:val="right" w:pos="9911" w:leader="dot"/>
        </w:tabs>
        <w:rPr/>
      </w:pPr>
      <w:hyperlink w:anchor="_Toc189147571">
        <w:r>
          <w:rPr>
            <w:rStyle w:val="Hyperlink"/>
            <w:rFonts w:eastAsia="Calibri"/>
            <w:vanish w:val="false"/>
            <w:color w:val="auto"/>
            <w:sz w:val="24"/>
            <w:szCs w:val="24"/>
            <w:u w:val="none"/>
          </w:rPr>
          <w:t>1.</w:t>
        </w:r>
        <w:r>
          <w:rPr>
            <w:rStyle w:val="Hyperlink"/>
            <w:b w:val="false"/>
            <w:bCs w:val="false"/>
            <w:color w:val="auto"/>
            <w:sz w:val="24"/>
            <w:szCs w:val="24"/>
            <w:u w:val="none"/>
          </w:rPr>
          <w:tab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  <w:t>Общие сведения</w:t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rPr>
            <w:webHidden/>
          </w:rPr>
          <w:fldChar w:fldCharType="begin"/>
        </w:r>
        <w:r>
          <w:rPr>
            <w:webHidden/>
          </w:rPr>
          <w:instrText xml:space="preserve">PAGEREF _Toc189147571 \h</w:instrText>
        </w:r>
        <w:r>
          <w:rPr>
            <w:webHidden/>
          </w:rPr>
          <w:fldChar w:fldCharType="separate"/>
        </w:r>
        <w:r>
          <w:rPr>
            <w:rStyle w:val="Hyperlink"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webHidden/>
          </w:rPr>
          <w:fldChar w:fldCharType="end"/>
        </w:r>
        <w:r>
          <w:rPr>
            <w:rStyle w:val="Hyperlink"/>
            <w:sz w:val="24"/>
            <w:u w:val="none"/>
            <w:szCs w:val="24"/>
            <w:vanish/>
            <w:color w:val="auto"/>
          </w:rPr>
          <w:instrText xml:space="preserve"> PAGEREF _Toc189147571 \h </w:instrText>
        </w:r>
        <w:r>
          <w:rPr>
            <w:rStyle w:val="Hyperlink"/>
            <w:sz w:val="24"/>
            <w:u w:val="none"/>
            <w:szCs w:val="24"/>
            <w:vanish/>
            <w:color w:val="auto"/>
          </w:rPr>
          <w:fldChar w:fldCharType="separate"/>
        </w:r>
        <w:r>
          <w:rPr>
            <w:rStyle w:val="Hyperlink"/>
            <w:sz w:val="24"/>
            <w:u w:val="none"/>
            <w:szCs w:val="24"/>
            <w:vanish/>
            <w:color w:val="auto"/>
          </w:rPr>
          <w:t>Ошибка: источник перекрёстной ссылки не найден</w:t>
        </w:r>
        <w:r>
          <w:rPr>
            <w:rStyle w:val="Hyperlink"/>
            <w:sz w:val="24"/>
            <w:u w:val="none"/>
            <w:szCs w:val="24"/>
            <w:vanish/>
            <w:color w:val="auto"/>
          </w:rPr>
          <w:fldChar w:fldCharType="end"/>
        </w:r>
      </w:hyperlink>
    </w:p>
    <w:p>
      <w:pPr>
        <w:pStyle w:val="TOC4"/>
        <w:tabs>
          <w:tab w:val="clear" w:pos="408"/>
          <w:tab w:val="left" w:pos="1120" w:leader="none"/>
          <w:tab w:val="right" w:pos="9911" w:leader="dot"/>
        </w:tabs>
        <w:rPr/>
      </w:pPr>
      <w:hyperlink w:anchor="_Toc189147572">
        <w:r>
          <w:rPr>
            <w:rStyle w:val="Hyperlink"/>
            <w:rFonts w:eastAsia="Calibri"/>
            <w:iCs/>
            <w:vanish w:val="false"/>
            <w:color w:val="auto"/>
            <w:sz w:val="24"/>
            <w:szCs w:val="24"/>
            <w:u w:val="none"/>
          </w:rPr>
          <w:t>1.1.</w:t>
        </w:r>
        <w:r>
          <w:rPr>
            <w:rStyle w:val="Hyperlink"/>
            <w:color w:val="auto"/>
            <w:sz w:val="24"/>
            <w:szCs w:val="24"/>
            <w:u w:val="none"/>
          </w:rPr>
          <w:tab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  <w:t>Обозначения и сокращения</w:t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fldChar w:fldCharType="begin"/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separate"/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rFonts w:eastAsia="Calibri"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szCs w:val="24"/>
            <w:rFonts w:eastAsia="Calibri"/>
            <w:color w:val="auto"/>
          </w:rPr>
          <w:fldChar w:fldCharType="end"/>
        </w:r>
        <w:r>
          <w:rPr>
            <w:webHidden/>
          </w:rPr>
          <w:fldChar w:fldCharType="begin"/>
        </w:r>
        <w:r>
          <w:rPr>
            <w:webHidden/>
          </w:rPr>
          <w:instrText xml:space="preserve">PAGEREF _Toc189147572 \h</w:instrText>
        </w:r>
        <w:r>
          <w:rPr>
            <w:webHidden/>
          </w:rPr>
          <w:fldChar w:fldCharType="separate"/>
        </w:r>
        <w:r>
          <w:rPr>
            <w:rStyle w:val="Hyperlink"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webHidden/>
          </w:rPr>
          <w:fldChar w:fldCharType="end"/>
        </w:r>
        <w:r>
          <w:rPr>
            <w:rStyle w:val="Hyperlink"/>
            <w:sz w:val="24"/>
            <w:u w:val="none"/>
            <w:szCs w:val="24"/>
            <w:vanish/>
            <w:color w:val="auto"/>
          </w:rPr>
          <w:instrText xml:space="preserve"> PAGEREF _Toc189147572 \h </w:instrText>
        </w:r>
        <w:r>
          <w:rPr>
            <w:rStyle w:val="Hyperlink"/>
            <w:sz w:val="24"/>
            <w:u w:val="none"/>
            <w:szCs w:val="24"/>
            <w:vanish/>
            <w:color w:val="auto"/>
          </w:rPr>
          <w:fldChar w:fldCharType="separate"/>
        </w:r>
        <w:r>
          <w:rPr>
            <w:rStyle w:val="Hyperlink"/>
            <w:sz w:val="24"/>
            <w:u w:val="none"/>
            <w:szCs w:val="24"/>
            <w:vanish/>
            <w:color w:val="auto"/>
          </w:rPr>
          <w:t>Ошибка: источник перекрёстной ссылки не найден</w:t>
        </w:r>
        <w:r>
          <w:rPr>
            <w:rStyle w:val="Hyperlink"/>
            <w:sz w:val="24"/>
            <w:u w:val="none"/>
            <w:szCs w:val="24"/>
            <w:vanish/>
            <w:color w:val="auto"/>
          </w:rPr>
          <w:fldChar w:fldCharType="end"/>
        </w:r>
      </w:hyperlink>
    </w:p>
    <w:p>
      <w:pPr>
        <w:pStyle w:val="TOC4"/>
        <w:tabs>
          <w:tab w:val="clear" w:pos="408"/>
          <w:tab w:val="left" w:pos="1120" w:leader="none"/>
          <w:tab w:val="right" w:pos="9911" w:leader="dot"/>
        </w:tabs>
        <w:rPr/>
      </w:pPr>
      <w:hyperlink w:anchor="_Toc189147573">
        <w:r>
          <w:rPr>
            <w:rStyle w:val="Style20"/>
            <w:rFonts w:eastAsia="Calibri"/>
            <w:iCs/>
            <w:vanish w:val="false"/>
            <w:sz w:val="24"/>
            <w:szCs w:val="24"/>
          </w:rPr>
          <w:t>1.2.</w:t>
        </w:r>
        <w:r>
          <w:rPr>
            <w:rStyle w:val="Style20"/>
            <w:color w:val="auto"/>
            <w:sz w:val="24"/>
            <w:szCs w:val="24"/>
          </w:rPr>
          <w:tab/>
        </w:r>
        <w:r>
          <w:rPr>
            <w:rStyle w:val="Style20"/>
            <w:rFonts w:eastAsia="Calibri"/>
            <w:sz w:val="24"/>
            <w:szCs w:val="24"/>
          </w:rPr>
          <w:t>Наименование закупаемой продукции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>7</w:t>
      </w:r>
    </w:p>
    <w:p>
      <w:pPr>
        <w:pStyle w:val="TOC4"/>
        <w:tabs>
          <w:tab w:val="clear" w:pos="408"/>
          <w:tab w:val="left" w:pos="1120" w:leader="none"/>
          <w:tab w:val="right" w:pos="9911" w:leader="dot"/>
        </w:tabs>
        <w:rPr/>
      </w:pPr>
      <w:hyperlink w:anchor="_Toc189147574">
        <w:r>
          <w:rPr>
            <w:rStyle w:val="Style20"/>
            <w:rFonts w:eastAsia="Calibri"/>
            <w:iCs/>
            <w:vanish w:val="false"/>
            <w:sz w:val="24"/>
            <w:szCs w:val="24"/>
          </w:rPr>
          <w:t>1.3.</w:t>
        </w:r>
        <w:r>
          <w:rPr>
            <w:rStyle w:val="Style20"/>
            <w:color w:val="auto"/>
            <w:sz w:val="24"/>
            <w:szCs w:val="24"/>
          </w:rPr>
          <w:tab/>
        </w:r>
        <w:r>
          <w:rPr>
            <w:rStyle w:val="Style20"/>
            <w:rFonts w:eastAsia="Calibri"/>
            <w:sz w:val="24"/>
            <w:szCs w:val="24"/>
          </w:rPr>
          <w:t>Цель выполнения работ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>7</w:t>
      </w:r>
    </w:p>
    <w:p>
      <w:pPr>
        <w:pStyle w:val="TOC4"/>
        <w:tabs>
          <w:tab w:val="clear" w:pos="408"/>
          <w:tab w:val="left" w:pos="1120" w:leader="none"/>
          <w:tab w:val="right" w:pos="9911" w:leader="dot"/>
        </w:tabs>
        <w:rPr/>
      </w:pPr>
      <w:hyperlink w:anchor="_Toc189147574">
        <w:r>
          <w:rPr>
            <w:rStyle w:val="Style20"/>
            <w:rFonts w:eastAsia="Calibri"/>
            <w:iCs/>
            <w:vanish w:val="false"/>
            <w:sz w:val="24"/>
            <w:szCs w:val="24"/>
          </w:rPr>
          <w:t>1.4.</w:t>
        </w:r>
        <w:r>
          <w:rPr>
            <w:rStyle w:val="Style20"/>
            <w:color w:val="auto"/>
            <w:sz w:val="24"/>
            <w:szCs w:val="24"/>
          </w:rPr>
          <w:tab/>
          <w:t>С</w:t>
        </w:r>
        <w:r>
          <w:rPr>
            <w:rStyle w:val="Style20"/>
            <w:rFonts w:eastAsia="Calibri"/>
            <w:color w:val="auto"/>
            <w:sz w:val="24"/>
            <w:szCs w:val="24"/>
          </w:rPr>
          <w:t>уществующее положение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>7</w:t>
      </w:r>
    </w:p>
    <w:p>
      <w:pPr>
        <w:pStyle w:val="TOC1"/>
        <w:tabs>
          <w:tab w:val="clear" w:pos="560"/>
          <w:tab w:val="left" w:pos="567" w:leader="none"/>
          <w:tab w:val="right" w:pos="9911" w:leader="dot"/>
        </w:tabs>
        <w:rPr/>
      </w:pPr>
      <w:hyperlink w:anchor="_Toc189147575">
        <w:r>
          <w:rPr>
            <w:rStyle w:val="Style20"/>
            <w:rFonts w:eastAsia="Calibri"/>
            <w:vanish w:val="false"/>
            <w:sz w:val="24"/>
            <w:szCs w:val="24"/>
          </w:rPr>
          <w:t>2.</w:t>
        </w:r>
        <w:r>
          <w:rPr>
            <w:rStyle w:val="Style20"/>
            <w:b w:val="false"/>
            <w:bCs w:val="false"/>
            <w:color w:val="auto"/>
            <w:sz w:val="24"/>
            <w:szCs w:val="24"/>
          </w:rPr>
          <w:tab/>
        </w:r>
        <w:r>
          <w:rPr>
            <w:rStyle w:val="Style20"/>
            <w:rFonts w:eastAsia="Calibri"/>
            <w:iCs/>
            <w:sz w:val="24"/>
            <w:szCs w:val="24"/>
          </w:rPr>
          <w:t>Требования к продукции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>7</w:t>
      </w:r>
    </w:p>
    <w:p>
      <w:pPr>
        <w:pStyle w:val="TOC4"/>
        <w:tabs>
          <w:tab w:val="clear" w:pos="408"/>
          <w:tab w:val="left" w:pos="1120" w:leader="none"/>
          <w:tab w:val="right" w:pos="9911" w:leader="dot"/>
        </w:tabs>
        <w:rPr/>
      </w:pPr>
      <w:hyperlink w:anchor="_Toc189147576">
        <w:r>
          <w:rPr>
            <w:rStyle w:val="Style20"/>
            <w:rFonts w:eastAsia="Calibri"/>
            <w:iCs/>
            <w:vanish w:val="false"/>
            <w:sz w:val="24"/>
            <w:szCs w:val="24"/>
          </w:rPr>
          <w:t>2.1.</w:t>
        </w:r>
        <w:r>
          <w:rPr>
            <w:rStyle w:val="Style20"/>
            <w:color w:val="auto"/>
            <w:sz w:val="24"/>
            <w:szCs w:val="24"/>
          </w:rPr>
          <w:tab/>
        </w:r>
        <w:r>
          <w:rPr>
            <w:rStyle w:val="Style20"/>
            <w:rFonts w:eastAsia="Calibri"/>
            <w:sz w:val="24"/>
            <w:szCs w:val="24"/>
          </w:rPr>
          <w:t>Требования к объемам и срокам выполнения работ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>7</w:t>
      </w:r>
    </w:p>
    <w:p>
      <w:pPr>
        <w:pStyle w:val="TOC3"/>
        <w:rPr/>
      </w:pPr>
      <w:hyperlink w:anchor="_Toc189147577">
        <w:r>
          <w:rPr>
            <w:rStyle w:val="Style20"/>
            <w:rFonts w:eastAsia="Calibri"/>
            <w:vanish w:val="false"/>
            <w:sz w:val="24"/>
            <w:szCs w:val="24"/>
          </w:rPr>
          <w:t>2.1.1.</w:t>
        </w:r>
        <w:r>
          <w:rPr>
            <w:rStyle w:val="Style20"/>
            <w:color w:val="auto"/>
            <w:sz w:val="24"/>
            <w:szCs w:val="24"/>
          </w:rPr>
          <w:tab/>
        </w:r>
        <w:r>
          <w:rPr>
            <w:rStyle w:val="Style20"/>
            <w:rFonts w:eastAsia="Calibri"/>
            <w:sz w:val="24"/>
            <w:szCs w:val="24"/>
          </w:rPr>
          <w:t>Требования к видам и объемам работ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ab/>
        <w:tab/>
        <w:tab/>
        <w:tab/>
        <w:tab/>
        <w:tab/>
        <w:tab/>
        <w:tab/>
        <w:tab/>
        <w:tab/>
        <w:tab/>
        <w:t>7</w:t>
      </w:r>
    </w:p>
    <w:p>
      <w:pPr>
        <w:pStyle w:val="TOC1"/>
        <w:rPr/>
      </w:pPr>
      <w:hyperlink w:anchor="_Toc189147578">
        <w:r>
          <w:rPr>
            <w:rStyle w:val="Style20"/>
            <w:rFonts w:eastAsia="Calibri"/>
            <w:vanish w:val="false"/>
            <w:sz w:val="24"/>
            <w:szCs w:val="24"/>
          </w:rPr>
          <w:t>Таблица 2. Перечень и объем выполняемых работ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>7</w:t>
      </w:r>
    </w:p>
    <w:p>
      <w:pPr>
        <w:pStyle w:val="TOC3"/>
        <w:rPr/>
      </w:pPr>
      <w:hyperlink w:anchor="_Toc189147579">
        <w:r>
          <w:rPr>
            <w:rStyle w:val="Style20"/>
            <w:rFonts w:eastAsia="Calibri"/>
            <w:vanish w:val="false"/>
            <w:sz w:val="24"/>
            <w:szCs w:val="24"/>
          </w:rPr>
          <w:t>2.1.2.</w:t>
        </w:r>
        <w:r>
          <w:rPr>
            <w:rStyle w:val="Style20"/>
            <w:color w:val="auto"/>
            <w:sz w:val="24"/>
            <w:szCs w:val="24"/>
          </w:rPr>
          <w:tab/>
        </w:r>
        <w:r>
          <w:rPr>
            <w:rStyle w:val="Style20"/>
            <w:rFonts w:eastAsia="Calibri"/>
            <w:sz w:val="24"/>
            <w:szCs w:val="24"/>
          </w:rPr>
          <w:t>Требования к срокам выполнения работ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ab/>
        <w:tab/>
        <w:tab/>
        <w:tab/>
        <w:tab/>
        <w:tab/>
        <w:tab/>
        <w:tab/>
        <w:tab/>
        <w:tab/>
        <w:t>9</w:t>
      </w:r>
    </w:p>
    <w:p>
      <w:pPr>
        <w:pStyle w:val="TOC1"/>
        <w:rPr/>
      </w:pPr>
      <w:hyperlink w:anchor="_Toc189147580">
        <w:r>
          <w:rPr>
            <w:rStyle w:val="Style20"/>
            <w:rFonts w:eastAsia="Calibri"/>
            <w:vanish w:val="false"/>
            <w:sz w:val="24"/>
            <w:szCs w:val="24"/>
          </w:rPr>
          <w:t>Таблица 3. Требования по срокам выполнения работ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>9</w:t>
      </w:r>
    </w:p>
    <w:p>
      <w:pPr>
        <w:pStyle w:val="TOC4"/>
        <w:tabs>
          <w:tab w:val="clear" w:pos="408"/>
          <w:tab w:val="left" w:pos="1120" w:leader="none"/>
          <w:tab w:val="right" w:pos="9911" w:leader="dot"/>
        </w:tabs>
        <w:rPr/>
      </w:pPr>
      <w:hyperlink w:anchor="_Toc189147581">
        <w:r>
          <w:rPr>
            <w:rStyle w:val="Style20"/>
            <w:rFonts w:eastAsia="Calibri"/>
            <w:iCs/>
            <w:vanish w:val="false"/>
            <w:sz w:val="24"/>
            <w:szCs w:val="24"/>
          </w:rPr>
          <w:t>2.2.</w:t>
        </w:r>
        <w:r>
          <w:rPr>
            <w:rStyle w:val="Style20"/>
            <w:color w:val="auto"/>
            <w:sz w:val="24"/>
            <w:szCs w:val="24"/>
          </w:rPr>
          <w:tab/>
        </w:r>
        <w:r>
          <w:rPr>
            <w:rStyle w:val="Style20"/>
            <w:rFonts w:eastAsia="Calibri"/>
            <w:sz w:val="24"/>
            <w:szCs w:val="24"/>
          </w:rPr>
          <w:t>Требования к качеству работ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>11</w:t>
      </w:r>
    </w:p>
    <w:p>
      <w:pPr>
        <w:pStyle w:val="TOC1"/>
        <w:rPr/>
      </w:pPr>
      <w:hyperlink w:anchor="_Toc189147582">
        <w:r>
          <w:rPr>
            <w:rStyle w:val="Style20"/>
            <w:rFonts w:eastAsia="Calibri"/>
            <w:vanish w:val="false"/>
            <w:sz w:val="24"/>
            <w:szCs w:val="24"/>
          </w:rPr>
          <w:t>Таблица 4. Требования к качеству</w:t>
        </w:r>
        <w:r>
          <w:rPr>
            <w:rStyle w:val="Style20"/>
            <w:sz w:val="24"/>
            <w:szCs w:val="24"/>
          </w:rPr>
          <w:tab/>
        </w:r>
      </w:hyperlink>
      <w:r>
        <w:rPr>
          <w:sz w:val="24"/>
          <w:szCs w:val="24"/>
        </w:rPr>
        <w:t>11</w:t>
      </w:r>
    </w:p>
    <w:p>
      <w:pPr>
        <w:pStyle w:val="TOC1"/>
        <w:rPr/>
      </w:pPr>
      <w:hyperlink w:anchor="_Toc189147583">
        <w:r>
          <w:rPr>
            <w:rStyle w:val="Style20"/>
            <w:rFonts w:eastAsia="Calibri"/>
            <w:b/>
            <w:iCs/>
            <w:vanish w:val="false"/>
            <w:sz w:val="24"/>
            <w:szCs w:val="24"/>
          </w:rPr>
          <w:t>Приложения:</w:t>
        </w:r>
        <w:r>
          <w:rPr>
            <w:rStyle w:val="Style20"/>
            <w:rFonts w:eastAsia="Calibri"/>
            <w:b/>
            <w:sz w:val="24"/>
            <w:szCs w:val="24"/>
          </w:rPr>
          <w:tab/>
        </w:r>
      </w:hyperlink>
      <w:r>
        <w:rPr>
          <w:rFonts w:eastAsia="Calibri"/>
          <w:b/>
          <w:sz w:val="24"/>
          <w:szCs w:val="24"/>
        </w:rPr>
        <w:t>14</w:t>
      </w:r>
    </w:p>
    <w:p>
      <w:pPr>
        <w:pStyle w:val="Normal"/>
        <w:jc w:val="left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Общие сведения</w:t>
      </w:r>
      <w:r>
        <w:rPr>
          <w:b/>
          <w:i/>
          <w:sz w:val="24"/>
          <w:szCs w:val="24"/>
        </w:rPr>
        <w:t xml:space="preserve"> </w:t>
      </w:r>
    </w:p>
    <w:p>
      <w:pPr>
        <w:pStyle w:val="ListParagraph"/>
        <w:numPr>
          <w:ilvl w:val="1"/>
          <w:numId w:val="1"/>
        </w:numPr>
        <w:ind w:left="360" w:right="0" w:hanging="360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Обозначения и сокращения, используемые в Технических требованиях</w:t>
      </w:r>
    </w:p>
    <w:p>
      <w:pPr>
        <w:pStyle w:val="NoSpacing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7997"/>
      </w:tblGrid>
      <w:tr>
        <w:trPr>
          <w:trHeight w:val="272" w:hRule="atLeast"/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РФ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Российская Федерация;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КПТ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кадастровый план территории;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ЕГРН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Единый государственный реестр недвижимости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ПД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Проектная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рабочая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ТУ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техническое условия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воздушная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линия электропередач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подстанция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Трансформаторная подстанция / трансформаторный пункт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РТП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распределительный трансформаторный пункт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ИРД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исходно-разрешительная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нормативно-техническая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НПА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нормативно-правовой акт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РЭС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районные электрические сети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струтурное подразделение филиала АО “ДРСК”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Правила устройства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ПОТЭЭУ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Правила по охране турда при эксплуатации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МО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Муниципальное образование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Государственный стандарт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СПиП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Свод правил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саморегулируемая организация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кВ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единица измерения напряжения киловольт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кВт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единица измерения мощности киловатт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шт.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единица измерения в штуках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мм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единица измерения в миллиметрах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  <w:lang w:val="sah-RU"/>
              </w:rPr>
              <w:t>см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</w:rPr>
              <w:t>единица измерения в сантиметрах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</w:rPr>
              <w:t>тн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</w:rPr>
              <w:t>единица измерения в тоннах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</w:rPr>
              <w:t>ЛСР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</w:rPr>
              <w:t>локальный сметный расчет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</w:rPr>
              <w:t>ЗУ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</w:rPr>
              <w:t>земельный участок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</w:rPr>
              <w:t>ПУД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lineRule="auto" w:line="276"/>
              <w:ind w:left="-851" w:right="0"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2D2D2D"/>
                <w:spacing w:val="2"/>
                <w:sz w:val="24"/>
                <w:szCs w:val="24"/>
                <w:shd w:fill="FFFFFF" w:val="clear"/>
              </w:rPr>
              <w:t>правоустанавливающий документ</w:t>
            </w:r>
          </w:p>
        </w:tc>
      </w:tr>
    </w:tbl>
    <w:p>
      <w:pPr>
        <w:pStyle w:val="Heading4"/>
        <w:numPr>
          <w:ilvl w:val="1"/>
          <w:numId w:val="1"/>
        </w:numPr>
        <w:ind w:left="360" w:right="0" w:hanging="360"/>
        <w:rPr>
          <w:rFonts w:ascii="Times New Roman" w:hAnsi="Times New Roman"/>
          <w:sz w:val="24"/>
          <w:szCs w:val="24"/>
        </w:rPr>
      </w:pPr>
      <w:r>
        <w:br w:type="page"/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Наименование закупаемой продукции (закупаемых работ)</w:t>
      </w:r>
    </w:p>
    <w:p>
      <w:pPr>
        <w:pStyle w:val="Heading4"/>
        <w:keepNext w:val="false"/>
        <w:widowControl w:val="false"/>
        <w:numPr>
          <w:ilvl w:val="0"/>
        </w:numPr>
        <w:tabs>
          <w:tab w:val="left" w:pos="0" w:leader="none"/>
          <w:tab w:val="left" w:pos="426" w:leader="none"/>
        </w:tabs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ОКПД2 71.12.13. Разработка проектной и рабочей документации (включая инженерные изыскания) по объекту «Строительство КЛ-6 кВ от РУ-6 кВ ПС 110/35/6 кВ "Южная" ячейка новая - 0,9 км (в том числе ГНБ 0,28 км); монтаж линейного разъединителя 6 кВ на опоре - 1 шт.; монтаж коммерческого учета 6 кВ - 1 шт. </w:t>
        <w:tab/>
        <w:t xml:space="preserve">Реконструкция РУ-6 кВ ПС 110/35/6 кВ "Южная" с заменой в яч. №11 вакуумного выключателя - 1 шт. и трансформаторов тока - 3 шт. для заявителя АО СПК в рамках реализации инвестиционных проектов (P_27-ХЭС-5855, Q_27-ХЭС-5856)» </w:t>
      </w:r>
    </w:p>
    <w:p>
      <w:pPr>
        <w:pStyle w:val="Heading4"/>
        <w:keepNext w:val="false"/>
        <w:widowControl w:val="false"/>
        <w:numPr>
          <w:ilvl w:val="1"/>
          <w:numId w:val="1"/>
        </w:numPr>
        <w:tabs>
          <w:tab w:val="left" w:pos="0" w:leader="none"/>
          <w:tab w:val="left" w:pos="426" w:leader="none"/>
        </w:tabs>
        <w:bidi w:val="0"/>
        <w:spacing w:lineRule="auto" w:line="240" w:before="0" w:after="0"/>
        <w:ind w:left="360" w:right="0" w:hanging="360"/>
        <w:contextualSpacing/>
        <w:jc w:val="left"/>
        <w:rPr>
          <w:rFonts w:ascii="Times New Roman" w:hAnsi="Times New Roman"/>
          <w:sz w:val="24"/>
          <w:szCs w:val="24"/>
        </w:rPr>
      </w:pPr>
      <w:bookmarkStart w:id="0" w:name="_Toc46743507"/>
      <w:r>
        <w:rPr>
          <w:b/>
          <w:sz w:val="24"/>
          <w:szCs w:val="24"/>
        </w:rPr>
        <w:t xml:space="preserve">Цель </w:t>
      </w:r>
      <w:bookmarkEnd w:id="0"/>
      <w:r>
        <w:rPr>
          <w:b/>
          <w:sz w:val="24"/>
          <w:szCs w:val="24"/>
        </w:rPr>
        <w:t xml:space="preserve">выполнения работ  </w:t>
      </w:r>
    </w:p>
    <w:p>
      <w:pPr>
        <w:pStyle w:val="ListParagraph"/>
        <w:widowControl/>
        <w:suppressAutoHyphens w:val="true"/>
        <w:overflowPunct w:val="false"/>
        <w:bidi w:val="0"/>
        <w:spacing w:before="0" w:after="0"/>
        <w:ind w:left="57" w:right="0" w:hanging="0"/>
        <w:contextualSpacing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i/>
          <w:sz w:val="24"/>
          <w:szCs w:val="24"/>
        </w:rPr>
        <w:t>Целью выполняемых работ является выполнение мероприятий по технологическому присоединению энергопринимающих устройств Заявителя к электрическим сетям Заказчика путем строительства объектов электросетевого хозяйства на территории Хабаровского края.</w:t>
      </w:r>
    </w:p>
    <w:p>
      <w:pPr>
        <w:pStyle w:val="Normal"/>
        <w:widowControl/>
        <w:tabs>
          <w:tab w:val="clear" w:pos="408"/>
          <w:tab w:val="left" w:pos="1050" w:leader="none"/>
        </w:tabs>
        <w:suppressAutoHyphens w:val="true"/>
        <w:bidi w:val="0"/>
        <w:spacing w:lineRule="auto" w:line="240" w:before="0" w:after="198"/>
        <w:ind w:left="0" w:righ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cs="Times New Roman"/>
          <w:b w:val="false"/>
          <w:bCs w:val="false"/>
          <w:i/>
          <w:iCs/>
          <w:color w:val="050000"/>
          <w:sz w:val="24"/>
          <w:szCs w:val="24"/>
          <w:lang w:val="ru-RU" w:eastAsia="ru-RU" w:bidi="ar-SA"/>
        </w:rPr>
        <w:t>Договор на технологическое присоединение к электрическим сетям АО «ДРСК» №133/24 от 19.11.2024 (СПК АО)</w:t>
      </w:r>
      <w:r>
        <w:rPr>
          <w:rFonts w:eastAsia="Calibri" w:cs="Times New Roman"/>
          <w:b w:val="false"/>
          <w:bCs w:val="false"/>
          <w:i/>
          <w:iCs/>
          <w:color w:val="000000"/>
          <w:sz w:val="24"/>
          <w:szCs w:val="24"/>
          <w:lang w:val="ru-RU" w:eastAsia="ru-RU" w:bidi="ar-SA"/>
        </w:rPr>
        <w:t>.</w:t>
      </w:r>
    </w:p>
    <w:p>
      <w:pPr>
        <w:pStyle w:val="Heading4"/>
        <w:numPr>
          <w:ilvl w:val="1"/>
          <w:numId w:val="1"/>
        </w:numPr>
        <w:ind w:left="360" w:right="0" w:hanging="360"/>
        <w:rPr>
          <w:rFonts w:ascii="Times New Roman" w:hAnsi="Times New Roman"/>
          <w:sz w:val="24"/>
          <w:szCs w:val="24"/>
        </w:rPr>
      </w:pPr>
      <w:bookmarkStart w:id="1" w:name="_Toc54646399"/>
      <w:bookmarkStart w:id="2" w:name="_Toc46743508"/>
      <w:bookmarkStart w:id="3" w:name="_Toc54646398"/>
      <w:bookmarkEnd w:id="3"/>
      <w:r>
        <w:rPr>
          <w:sz w:val="24"/>
          <w:szCs w:val="24"/>
        </w:rPr>
        <w:t xml:space="preserve"> </w:t>
      </w:r>
      <w:bookmarkEnd w:id="1"/>
      <w:bookmarkEnd w:id="2"/>
      <w:r>
        <w:rPr>
          <w:b/>
          <w:sz w:val="24"/>
          <w:szCs w:val="24"/>
        </w:rPr>
        <w:t>Существующее положение</w:t>
      </w:r>
    </w:p>
    <w:p>
      <w:pPr>
        <w:pStyle w:val="Heading4"/>
        <w:numPr>
          <w:ilvl w:val="2"/>
          <w:numId w:val="1"/>
        </w:numPr>
        <w:ind w:left="360" w:right="0" w:hanging="360"/>
        <w:rPr>
          <w:rFonts w:eastAsia="Calibri"/>
          <w:color w:val="000000"/>
          <w:lang w:eastAsia="x-none"/>
        </w:rPr>
      </w:pPr>
      <w:r>
        <w:rPr>
          <w:rFonts w:eastAsia="Calibri"/>
          <w:color w:val="000000"/>
          <w:sz w:val="24"/>
          <w:szCs w:val="24"/>
          <w:lang w:eastAsia="x-none"/>
        </w:rPr>
        <w:t>Основн</w:t>
      </w:r>
      <w:r>
        <w:rPr>
          <w:rFonts w:eastAsia="Calibri"/>
          <w:sz w:val="24"/>
          <w:szCs w:val="24"/>
          <w:lang w:eastAsia="x-none"/>
        </w:rPr>
        <w:t>ые технические характеристики проектируемых объектов строительства/реконструкции</w:t>
      </w:r>
    </w:p>
    <w:p>
      <w:pPr>
        <w:pStyle w:val="Heading4"/>
        <w:numPr>
          <w:ilvl w:val="0"/>
        </w:numPr>
        <w:ind w:left="360" w:right="0" w:hanging="360"/>
        <w:rPr>
          <w:rFonts w:ascii="Times New Roman" w:hAnsi="Times New Roman"/>
          <w:b w:val="false"/>
          <w:bCs w:val="false"/>
          <w:i/>
          <w:i/>
          <w:iCs/>
          <w:color w:val="000000"/>
          <w:sz w:val="24"/>
          <w:szCs w:val="24"/>
        </w:rPr>
      </w:pPr>
      <w:r>
        <w:rPr>
          <w:b w:val="false"/>
          <w:bCs w:val="false"/>
          <w:i/>
          <w:iCs/>
          <w:color w:val="000000"/>
          <w:sz w:val="24"/>
          <w:szCs w:val="24"/>
        </w:rPr>
        <w:t xml:space="preserve">Таблица 1 - КЛ-6 кВ от новой линейной ячейки РУ-6 кВ ПС 110/35/6 кВ «Южная» </w:t>
      </w:r>
    </w:p>
    <w:tbl>
      <w:tblPr>
        <w:tblW w:w="10180" w:type="dxa"/>
        <w:jc w:val="left"/>
        <w:tblInd w:w="-12" w:type="dxa"/>
        <w:tblLayout w:type="fixed"/>
        <w:tblCellMar>
          <w:top w:w="0" w:type="dxa"/>
          <w:left w:w="98" w:type="dxa"/>
          <w:bottom w:w="0" w:type="dxa"/>
          <w:right w:w="108" w:type="dxa"/>
        </w:tblCellMar>
      </w:tblPr>
      <w:tblGrid>
        <w:gridCol w:w="4061"/>
        <w:gridCol w:w="6118"/>
      </w:tblGrid>
      <w:tr>
        <w:trPr/>
        <w:tc>
          <w:tcPr>
            <w:tcW w:w="4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6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Значение*</w:t>
            </w:r>
          </w:p>
        </w:tc>
      </w:tr>
      <w:tr>
        <w:trPr/>
        <w:tc>
          <w:tcPr>
            <w:tcW w:w="4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</w:t>
            </w:r>
          </w:p>
        </w:tc>
        <w:tc>
          <w:tcPr>
            <w:tcW w:w="6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/>
        <w:tc>
          <w:tcPr>
            <w:tcW w:w="4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</w:t>
            </w:r>
          </w:p>
        </w:tc>
        <w:tc>
          <w:tcPr>
            <w:tcW w:w="6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Кабельное</w:t>
            </w:r>
          </w:p>
        </w:tc>
      </w:tr>
      <w:tr>
        <w:trPr/>
        <w:tc>
          <w:tcPr>
            <w:tcW w:w="4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>Передаваемая мощность</w:t>
            </w:r>
          </w:p>
        </w:tc>
        <w:tc>
          <w:tcPr>
            <w:tcW w:w="6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napToGrid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>Определить проектом</w:t>
            </w:r>
          </w:p>
        </w:tc>
      </w:tr>
      <w:tr>
        <w:trPr/>
        <w:tc>
          <w:tcPr>
            <w:tcW w:w="406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ind w:left="22" w:right="0" w:hanging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трассы, марка, сечение кабеля</w:t>
            </w:r>
          </w:p>
        </w:tc>
        <w:tc>
          <w:tcPr>
            <w:tcW w:w="61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0,78 км, в том числе:</w:t>
            </w:r>
          </w:p>
          <w:p>
            <w:pPr>
              <w:pStyle w:val="Standard"/>
              <w:widowControl w:val="fals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кабельном исполнении 3х жильным кабелем с прокладкой одного кабеля в блоке с сечением жил не менее 120 мм2, ориентировочной протяженностью 0,4 км (уточнить проектом)</w:t>
            </w:r>
          </w:p>
          <w:p>
            <w:pPr>
              <w:pStyle w:val="Standard"/>
              <w:widowControl w:val="fals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кабельном исполнении 3х жильным кабелем с прокладкой одного кабеля в блоке с сечением жил не менее 120 мм2 методом ГНБ ориентировочной протяженностью 0,38 км (уточнить проектом)</w:t>
            </w:r>
          </w:p>
          <w:p>
            <w:pPr>
              <w:pStyle w:val="Standard"/>
              <w:widowControl w:val="fals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проводников КЛ 6 кВ, трассу прохождения, протяжённость и конструктивные особенности уточнить проектом</w:t>
            </w:r>
          </w:p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6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</w:tr>
      <w:tr>
        <w:trPr/>
        <w:tc>
          <w:tcPr>
            <w:tcW w:w="4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часов использования максимума нагрузки</w:t>
            </w:r>
          </w:p>
        </w:tc>
        <w:tc>
          <w:tcPr>
            <w:tcW w:w="6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</w:tr>
      <w:tr>
        <w:trPr/>
        <w:tc>
          <w:tcPr>
            <w:tcW w:w="4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особенности ВЛ (КЛ), включая рекомендации по типу опор и изоляции (с уточнением в проекте)</w:t>
            </w:r>
          </w:p>
        </w:tc>
        <w:tc>
          <w:tcPr>
            <w:tcW w:w="6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</w:tr>
      <w:tr>
        <w:trPr/>
        <w:tc>
          <w:tcPr>
            <w:tcW w:w="4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присоединения</w:t>
            </w:r>
          </w:p>
        </w:tc>
        <w:tc>
          <w:tcPr>
            <w:tcW w:w="6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электрической сети ЛЭП 6 кВ, строящейся от РУ-6 кВ ПС 110/35/6 кВ Южная</w:t>
            </w:r>
          </w:p>
        </w:tc>
      </w:tr>
      <w:tr>
        <w:trPr/>
        <w:tc>
          <w:tcPr>
            <w:tcW w:w="4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надежности</w:t>
            </w:r>
          </w:p>
        </w:tc>
        <w:tc>
          <w:tcPr>
            <w:tcW w:w="6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</w:tr>
      <w:tr>
        <w:trPr/>
        <w:tc>
          <w:tcPr>
            <w:tcW w:w="406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строительства</w:t>
            </w:r>
          </w:p>
        </w:tc>
        <w:tc>
          <w:tcPr>
            <w:tcW w:w="61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Новое строительство</w:t>
            </w:r>
          </w:p>
        </w:tc>
      </w:tr>
    </w:tbl>
    <w:p>
      <w:pPr>
        <w:pStyle w:val="Normal"/>
        <w:widowControl w:val="false"/>
        <w:spacing w:before="0" w:after="0"/>
        <w:ind w:left="0" w:right="0" w:firstLine="709"/>
        <w:contextualSpacing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before="0" w:after="0"/>
        <w:ind w:left="0" w:right="0" w:hanging="0"/>
        <w:contextualSpacing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>Провести предпроектное инструментальное обследование и оценить состояние опоры №16.</w:t>
      </w:r>
    </w:p>
    <w:p>
      <w:pPr>
        <w:pStyle w:val="Normal"/>
        <w:widowControl w:val="false"/>
        <w:spacing w:before="0" w:after="0"/>
        <w:ind w:left="0" w:right="0" w:hanging="0"/>
        <w:contextualSpacing/>
        <w:rPr>
          <w:rFonts w:ascii="Times New Roman" w:hAnsi="Times New Roman"/>
          <w:b w:val="false"/>
          <w:bCs w:val="false"/>
          <w:color w:val="000000"/>
          <w:sz w:val="24"/>
          <w:szCs w:val="24"/>
        </w:rPr>
      </w:pPr>
      <w:r>
        <w:rPr>
          <w:b w:val="false"/>
          <w:bCs w:val="false"/>
          <w:color w:val="000000"/>
          <w:sz w:val="24"/>
          <w:szCs w:val="24"/>
        </w:rPr>
        <w:t>Запроектировать монтаж на конечной опоре линейного разъединителя 6 кВ на 250 А</w:t>
      </w:r>
    </w:p>
    <w:p>
      <w:pPr>
        <w:pStyle w:val="Normal"/>
        <w:widowControl w:val="false"/>
        <w:spacing w:before="0" w:after="0"/>
        <w:ind w:left="0" w:right="0" w:firstLine="709"/>
        <w:contextualSpacing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Heading4"/>
        <w:numPr>
          <w:ilvl w:val="0"/>
        </w:numPr>
        <w:ind w:left="360" w:right="0" w:hanging="360"/>
        <w:rPr>
          <w:rFonts w:ascii="Times New Roman" w:hAnsi="Times New Roman"/>
          <w:b w:val="false"/>
          <w:bCs w:val="false"/>
          <w:i/>
          <w:i/>
          <w:iCs/>
          <w:color w:val="000000"/>
          <w:sz w:val="24"/>
          <w:szCs w:val="24"/>
        </w:rPr>
      </w:pPr>
      <w:r>
        <w:rPr>
          <w:b w:val="false"/>
          <w:bCs w:val="false"/>
          <w:i/>
          <w:iCs/>
          <w:color w:val="000000"/>
          <w:sz w:val="24"/>
          <w:szCs w:val="24"/>
        </w:rPr>
        <w:t>Таблица 2 - ПС 110/35/6 кВ «Южная»</w:t>
      </w:r>
    </w:p>
    <w:tbl>
      <w:tblPr>
        <w:tblW w:w="10011" w:type="dxa"/>
        <w:jc w:val="center"/>
        <w:tblInd w:w="0" w:type="dxa"/>
        <w:tblLayout w:type="fixed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4190"/>
        <w:gridCol w:w="5820"/>
      </w:tblGrid>
      <w:tr>
        <w:trPr>
          <w:trHeight w:val="391" w:hRule="atLeast"/>
        </w:trPr>
        <w:tc>
          <w:tcPr>
            <w:tcW w:w="4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5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Значение</w:t>
            </w:r>
          </w:p>
        </w:tc>
      </w:tr>
      <w:tr>
        <w:trPr>
          <w:trHeight w:val="394" w:hRule="atLeast"/>
        </w:trPr>
        <w:tc>
          <w:tcPr>
            <w:tcW w:w="4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Номинальное напряжение</w:t>
            </w:r>
          </w:p>
        </w:tc>
        <w:tc>
          <w:tcPr>
            <w:tcW w:w="5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110/35/6 кВ</w:t>
            </w:r>
          </w:p>
        </w:tc>
      </w:tr>
      <w:tr>
        <w:trPr>
          <w:trHeight w:val="718" w:hRule="atLeast"/>
        </w:trPr>
        <w:tc>
          <w:tcPr>
            <w:tcW w:w="4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 6 кВ</w:t>
            </w:r>
          </w:p>
        </w:tc>
        <w:tc>
          <w:tcPr>
            <w:tcW w:w="5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Запроектировать замену в линейной ячейке 6 кВ №11:</w:t>
            </w:r>
          </w:p>
          <w:p>
            <w:pPr>
              <w:pStyle w:val="Standard"/>
              <w:widowControl w:val="false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трансформаторов тока (далее по тексту – ТТ) на трансформаторы тока с расчетным коэффициентом трансформации, соответствующим заявленной мощности. Класс точности вторичной обмотки ТТ для учета и измерений принять не ниже 0,5, для устройств РЗА 10 р (тип и параметры уточнить проектом)</w:t>
            </w:r>
          </w:p>
          <w:p>
            <w:pPr>
              <w:pStyle w:val="Standard"/>
              <w:widowControl w:val="false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выключателя 6 кВ ВВТЭ-М-10-20/630 У2 на выключатель ВВР-10-20/1000 А УХЛ (технические характеристики определить проектом)</w:t>
            </w:r>
          </w:p>
        </w:tc>
      </w:tr>
      <w:tr>
        <w:trPr>
          <w:trHeight w:val="715" w:hRule="atLeast"/>
        </w:trPr>
        <w:tc>
          <w:tcPr>
            <w:tcW w:w="419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Тип и количество линейных выключателей 35 кВ</w:t>
            </w:r>
          </w:p>
        </w:tc>
        <w:tc>
          <w:tcPr>
            <w:tcW w:w="582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Проектом предусмотреть РУ 35 кВ, включая установку коммутационных аппаратов (выключателя 35 кВ, разъединители 35 кВ, трансформаторов тока 35 кВ и трансформаторов напряжения 35 кВ — ТТ и ТН для организации ДЗТ со всех 3-х сторон трансформатора и организации ЗЗ для ЛЭП 35 кВ)</w:t>
            </w:r>
          </w:p>
        </w:tc>
      </w:tr>
      <w:tr>
        <w:trPr>
          <w:trHeight w:val="742" w:hRule="atLeast"/>
        </w:trPr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требования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60" w:after="0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В линейной ячейке 6 кВ № 11 ПС 110/35/6 кВ Южная предусмотреть установку устройств релейной защиты и противоаварийной автоматики (АЧР, ЧАПВ) на базе микропроцессорных терминалов.</w:t>
            </w:r>
          </w:p>
          <w:p>
            <w:pPr>
              <w:pStyle w:val="Standard"/>
              <w:widowControl w:val="false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Устройства РЗА должны обеспечивать свою работу при частоте 45,0 – 55,0 Гц.</w:t>
            </w:r>
          </w:p>
          <w:p>
            <w:pPr>
              <w:pStyle w:val="Standard"/>
              <w:widowControl w:val="false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Предусмотреть, подключение нагрузки Заявителя под действие устройств противоаварийной автоматики (АЧР, ЧАПВ).</w:t>
            </w:r>
          </w:p>
          <w:p>
            <w:pPr>
              <w:pStyle w:val="Standard"/>
              <w:widowControl w:val="false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Оснастить ТП 6/0,4 кВ устройствами защиты от перенапряжений и токов короткого замыкания.</w:t>
            </w:r>
          </w:p>
          <w:p>
            <w:pPr>
              <w:pStyle w:val="Standard"/>
              <w:widowControl w:val="false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Выполнить учёт электроэнергии в соответствии с Типовой инструкцией по учёту электроэнергии при её производстве, передаче и распределении (СО 153-34.09.101-94), требованиями правил организации учёта электрической энергии на розничном рынке, установленных Федеральным законом от 26.03.2003 № 35-ФЗ «Об электроэнергетике», Основными положениями функционирования розничных рынков электрической энергии, утверждёнными Постановлением Правительства РФ от 04.05.2012 № 442.</w:t>
            </w:r>
          </w:p>
          <w:p>
            <w:pPr>
              <w:pStyle w:val="Standard"/>
              <w:widowControl w:val="false"/>
              <w:ind w:left="0" w:right="0" w:firstLine="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 В случае установки на территории заявителя автономных источников питания, для данных источников питания предусмотреть установку автоматической и (или) ручной блокировки, препятствующих подаче напряжения от автономных источников питания в электрическую сеть АО «ДРСК».</w:t>
            </w:r>
          </w:p>
        </w:tc>
      </w:tr>
      <w:tr>
        <w:trPr>
          <w:trHeight w:val="742" w:hRule="atLeast"/>
        </w:trPr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строительства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</w:t>
            </w:r>
          </w:p>
        </w:tc>
      </w:tr>
    </w:tbl>
    <w:p>
      <w:pPr>
        <w:pStyle w:val="Normal"/>
        <w:widowControl w:val="false"/>
        <w:spacing w:before="0" w:after="0"/>
        <w:ind w:left="0" w:right="0" w:firstLine="709"/>
        <w:contextualSpacing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Next w:val="true"/>
        <w:widowControl/>
        <w:numPr>
          <w:ilvl w:val="0"/>
        </w:numPr>
        <w:suppressAutoHyphens w:val="true"/>
        <w:overflowPunct w:val="false"/>
        <w:bidi w:val="0"/>
        <w:spacing w:before="0" w:after="60"/>
        <w:ind w:left="0" w:right="0" w:hanging="0"/>
        <w:jc w:val="left"/>
        <w:rPr>
          <w:rFonts w:ascii="Times New Roman" w:hAnsi="Times New Roman"/>
          <w:b w:val="false"/>
          <w:bCs w:val="false"/>
          <w:i/>
          <w:i/>
          <w:iCs/>
          <w:sz w:val="24"/>
          <w:szCs w:val="24"/>
        </w:rPr>
      </w:pPr>
      <w:bookmarkStart w:id="4" w:name="_Toc54646400"/>
      <w:r>
        <w:rPr>
          <w:b w:val="false"/>
          <w:bCs w:val="false"/>
          <w:i/>
          <w:iCs/>
          <w:sz w:val="24"/>
          <w:szCs w:val="24"/>
        </w:rPr>
        <w:t xml:space="preserve">Таблица 3. </w:t>
      </w:r>
      <w:bookmarkEnd w:id="4"/>
      <w:r>
        <w:rPr>
          <w:b w:val="false"/>
          <w:bCs w:val="false"/>
          <w:i/>
          <w:iCs/>
          <w:sz w:val="24"/>
          <w:szCs w:val="24"/>
        </w:rPr>
        <w:t xml:space="preserve">Перечень объектов заказчика </w:t>
      </w:r>
    </w:p>
    <w:tbl>
      <w:tblPr>
        <w:tblW w:w="10060" w:type="dxa"/>
        <w:jc w:val="left"/>
        <w:tblInd w:w="-20" w:type="dxa"/>
        <w:tblLayout w:type="fixed"/>
        <w:tblCellMar>
          <w:top w:w="0" w:type="dxa"/>
          <w:left w:w="83" w:type="dxa"/>
          <w:bottom w:w="0" w:type="dxa"/>
          <w:right w:w="108" w:type="dxa"/>
        </w:tblCellMar>
      </w:tblPr>
      <w:tblGrid>
        <w:gridCol w:w="704"/>
        <w:gridCol w:w="3460"/>
        <w:gridCol w:w="2350"/>
        <w:gridCol w:w="3545"/>
      </w:tblGrid>
      <w:tr>
        <w:trPr>
          <w:trHeight w:val="989" w:hRule="atLeas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ind w:left="-101" w:right="0" w:firstLine="101"/>
              <w:rPr>
                <w:rFonts w:ascii="Times New Roman" w:hAnsi="Times New Roman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ind w:left="-101" w:right="0" w:firstLine="101"/>
              <w:rPr>
                <w:rFonts w:ascii="Times New Roman" w:hAnsi="Times New Roman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п/п</w:t>
            </w:r>
          </w:p>
        </w:tc>
        <w:tc>
          <w:tcPr>
            <w:tcW w:w="3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ind w:left="-101" w:right="0" w:firstLine="101"/>
              <w:jc w:val="center"/>
              <w:rPr>
                <w:rFonts w:ascii="Times New Roman" w:hAnsi="Times New Roman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ind w:left="-101" w:right="0" w:firstLine="101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2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ind w:left="-101" w:right="0" w:firstLine="101"/>
              <w:jc w:val="center"/>
              <w:rPr>
                <w:rFonts w:ascii="Times New Roman" w:hAnsi="Times New Roman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 xml:space="preserve">Расположение объекта </w:t>
              <w:br/>
              <w:t>(место производства работ)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ind w:left="-101" w:right="0" w:firstLine="101"/>
              <w:jc w:val="center"/>
              <w:rPr>
                <w:rFonts w:ascii="Times New Roman" w:hAnsi="Times New Roman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Эксплуатирующая организация</w:t>
            </w:r>
          </w:p>
        </w:tc>
      </w:tr>
      <w:tr>
        <w:trPr>
          <w:trHeight w:val="288" w:hRule="atLeas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ind w:left="-101" w:right="0" w:firstLine="101"/>
              <w:jc w:val="center"/>
              <w:rPr>
                <w:rFonts w:ascii="Times New Roman" w:hAnsi="Times New Roman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1</w:t>
            </w:r>
          </w:p>
        </w:tc>
        <w:tc>
          <w:tcPr>
            <w:tcW w:w="3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ind w:left="-101" w:right="0" w:firstLine="101"/>
              <w:jc w:val="center"/>
              <w:rPr>
                <w:rFonts w:ascii="Times New Roman" w:hAnsi="Times New Roman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ind w:left="-101" w:right="0" w:firstLine="101"/>
              <w:jc w:val="center"/>
              <w:rPr>
                <w:rFonts w:ascii="Times New Roman" w:hAnsi="Times New Roman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4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ind w:left="-101" w:right="0" w:firstLine="101"/>
              <w:jc w:val="center"/>
              <w:rPr>
                <w:rFonts w:ascii="Times New Roman" w:hAnsi="Times New Roman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5</w:t>
            </w:r>
          </w:p>
        </w:tc>
      </w:tr>
      <w:tr>
        <w:trPr>
          <w:trHeight w:val="288" w:hRule="atLeas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ind w:left="-101" w:right="0" w:firstLine="101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2</w:t>
            </w:r>
          </w:p>
          <w:p>
            <w:pPr>
              <w:pStyle w:val="Normal"/>
              <w:widowControl w:val="false"/>
              <w:ind w:left="-101" w:right="0" w:firstLine="101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3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rFonts w:ascii="Times New Roman" w:hAnsi="Times New Roman" w:eastAsia="Liberation Serif" w:cs="Liberation Serif"/>
                <w:b w:val="false"/>
                <w:bCs w:val="false"/>
                <w:i w:val="false"/>
                <w:i w:val="false"/>
                <w:iCs w:val="false"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eastAsia="Liberation Serif" w:cs="Liberation Serif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FFFFFF" w:val="clear"/>
              </w:rPr>
              <w:t>Оборудование ЗРУ - 6 кВ ПС "Южная"</w:t>
            </w:r>
          </w:p>
        </w:tc>
        <w:tc>
          <w:tcPr>
            <w:tcW w:w="2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г. Хабаровск                    ул. Суворова 90а</w:t>
            </w:r>
          </w:p>
        </w:tc>
        <w:tc>
          <w:tcPr>
            <w:tcW w:w="3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Филиал АО «ДРСК» «ХЭС» СП «ЦЭС» Городской РЭС</w:t>
            </w:r>
          </w:p>
        </w:tc>
      </w:tr>
    </w:tbl>
    <w:p>
      <w:pPr>
        <w:pStyle w:val="Heading4"/>
        <w:numPr>
          <w:ilvl w:val="0"/>
        </w:numPr>
        <w:ind w:left="0" w:right="0" w:hanging="0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Heading1"/>
        <w:numPr>
          <w:ilvl w:val="0"/>
          <w:numId w:val="1"/>
        </w:numPr>
        <w:ind w:left="360" w:right="0" w:hanging="360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Требования к продукции</w:t>
      </w:r>
    </w:p>
    <w:p>
      <w:pPr>
        <w:pStyle w:val="Heading4"/>
        <w:numPr>
          <w:ilvl w:val="1"/>
          <w:numId w:val="1"/>
        </w:numPr>
        <w:ind w:left="360" w:right="0" w:hanging="360"/>
        <w:rPr>
          <w:rFonts w:ascii="Times New Roman" w:hAnsi="Times New Roman"/>
          <w:sz w:val="24"/>
          <w:szCs w:val="24"/>
        </w:rPr>
      </w:pPr>
      <w:bookmarkStart w:id="5" w:name="_Toc54646404"/>
      <w:bookmarkEnd w:id="5"/>
      <w:r>
        <w:rPr>
          <w:sz w:val="24"/>
          <w:szCs w:val="24"/>
        </w:rPr>
        <w:t>Требования к объемам и срокам выполнения работ</w:t>
      </w:r>
    </w:p>
    <w:p>
      <w:pPr>
        <w:pStyle w:val="Heading3"/>
        <w:numPr>
          <w:ilvl w:val="2"/>
          <w:numId w:val="1"/>
        </w:numPr>
        <w:ind w:left="720" w:right="0" w:hanging="720"/>
        <w:rPr>
          <w:rFonts w:ascii="Times New Roman" w:hAnsi="Times New Roman"/>
          <w:sz w:val="24"/>
          <w:szCs w:val="24"/>
        </w:rPr>
      </w:pPr>
      <w:bookmarkStart w:id="6" w:name="_Toc54646405"/>
      <w:bookmarkEnd w:id="6"/>
      <w:r>
        <w:rPr>
          <w:sz w:val="24"/>
          <w:szCs w:val="24"/>
        </w:rPr>
        <w:t>Требования к видам и объемам работ</w:t>
      </w:r>
    </w:p>
    <w:p>
      <w:pPr>
        <w:pStyle w:val="Heading1"/>
        <w:numPr>
          <w:ilvl w:val="0"/>
        </w:numPr>
        <w:ind w:left="0" w:right="0" w:hanging="0"/>
        <w:jc w:val="left"/>
        <w:rPr>
          <w:rFonts w:ascii="Times New Roman" w:hAnsi="Times New Roman"/>
          <w:sz w:val="24"/>
          <w:szCs w:val="24"/>
        </w:rPr>
      </w:pPr>
      <w:bookmarkStart w:id="7" w:name="_Toc54646406"/>
      <w:bookmarkStart w:id="8" w:name="_Toc51339695"/>
      <w:r>
        <w:rPr>
          <w:sz w:val="24"/>
          <w:szCs w:val="24"/>
        </w:rPr>
        <w:t xml:space="preserve">Таблица 4. </w:t>
      </w:r>
      <w:r>
        <w:rPr>
          <w:b/>
          <w:sz w:val="24"/>
          <w:szCs w:val="24"/>
        </w:rPr>
        <w:t xml:space="preserve">Перечень </w:t>
      </w:r>
      <w:bookmarkEnd w:id="7"/>
      <w:bookmarkEnd w:id="8"/>
      <w:r>
        <w:rPr>
          <w:b/>
          <w:sz w:val="24"/>
          <w:szCs w:val="24"/>
        </w:rPr>
        <w:t>и объем выполняемых работ</w:t>
      </w:r>
    </w:p>
    <w:tbl>
      <w:tblPr>
        <w:tblW w:w="1038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589"/>
        <w:gridCol w:w="1470"/>
        <w:gridCol w:w="3616"/>
      </w:tblGrid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работ / этапа работ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Ед. изм.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Кол-во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408"/>
                <w:tab w:val="left" w:pos="4815" w:leader="none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u w:val="single"/>
              </w:rPr>
              <w:t>I этап.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815" w:leader="none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Предпроектные работы.  Инженерные изыскания. Работы по оформлению правоустанавливающих, исходно-разрешительных документов на использование земельных участков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Компл.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2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u w:val="single"/>
              </w:rPr>
              <w:t>II этап.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993" w:leader="none"/>
                <w:tab w:val="left" w:pos="1134" w:leader="none"/>
              </w:tabs>
              <w:spacing w:before="0" w:after="0"/>
              <w:ind w:left="0" w:right="0"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Разработка проектной документации.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Компл.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2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u w:val="single"/>
              </w:rPr>
              <w:t>III этап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Разработка рабочей документации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Компл.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2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>
      <w:pPr>
        <w:pStyle w:val="Heading4"/>
        <w:numPr>
          <w:ilvl w:val="0"/>
        </w:numPr>
        <w:ind w:left="0" w:right="0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Heading4"/>
        <w:numPr>
          <w:ilvl w:val="2"/>
          <w:numId w:val="1"/>
        </w:numPr>
        <w:ind w:left="720" w:right="0" w:hanging="72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Требования к срокам выполнения работ.</w:t>
      </w:r>
    </w:p>
    <w:p>
      <w:pPr>
        <w:pStyle w:val="Heading1"/>
        <w:numPr>
          <w:ilvl w:val="0"/>
        </w:numPr>
        <w:ind w:left="0" w:right="0" w:hanging="0"/>
        <w:jc w:val="lef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Таблица 5. </w:t>
      </w:r>
      <w:bookmarkStart w:id="9" w:name="_Hlk50465284"/>
      <w:r>
        <w:rPr>
          <w:b/>
          <w:sz w:val="24"/>
          <w:szCs w:val="24"/>
        </w:rPr>
        <w:t xml:space="preserve">Требования по срокам </w:t>
      </w:r>
      <w:bookmarkEnd w:id="9"/>
      <w:r>
        <w:rPr>
          <w:b/>
          <w:sz w:val="24"/>
          <w:szCs w:val="24"/>
        </w:rPr>
        <w:t>выполнения работ</w:t>
      </w:r>
    </w:p>
    <w:p>
      <w:pPr>
        <w:pStyle w:val="Normal"/>
        <w:rPr>
          <w:rFonts w:ascii="Times New Roman" w:hAnsi="Times New Roman"/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tbl>
      <w:tblPr>
        <w:tblW w:w="10650" w:type="dxa"/>
        <w:jc w:val="left"/>
        <w:tblInd w:w="-4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4591"/>
        <w:gridCol w:w="2897"/>
        <w:gridCol w:w="2549"/>
      </w:tblGrid>
      <w:tr>
        <w:trPr>
          <w:trHeight w:val="276" w:hRule="atLeast"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работ/ этапа работ</w:t>
            </w:r>
          </w:p>
        </w:tc>
        <w:tc>
          <w:tcPr>
            <w:tcW w:w="2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40" w:after="40"/>
              <w:ind w:left="57" w:right="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40" w:after="40"/>
              <w:ind w:left="57" w:right="5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>
        <w:trPr>
          <w:trHeight w:val="598" w:hRule="atLeast"/>
        </w:trPr>
        <w:tc>
          <w:tcPr>
            <w:tcW w:w="6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uppressAutoHyphens w:val="true"/>
              <w:overflowPunct w:val="false"/>
              <w:bidi w:val="0"/>
              <w:spacing w:lineRule="auto" w:line="240" w:before="0" w:after="0"/>
              <w:ind w:left="737" w:right="0" w:hanging="6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408"/>
                <w:tab w:val="left" w:pos="4815" w:leader="none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u w:val="single"/>
              </w:rPr>
              <w:t>I этап.</w:t>
            </w:r>
            <w:r>
              <w:rPr>
                <w:rFonts w:cs="Times New Roman"/>
                <w:sz w:val="24"/>
                <w:szCs w:val="24"/>
              </w:rPr>
              <w:t xml:space="preserve">  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4815" w:leader="none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Предпроектные работы.  Инженерные изыскания. Работы по оформлению правоустанавливающих, исходно-разрешительных документов на использование земельных участков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120 дней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uppressAutoHyphens w:val="true"/>
              <w:overflowPunct w:val="false"/>
              <w:bidi w:val="0"/>
              <w:spacing w:lineRule="auto" w:line="240" w:before="0" w:after="0"/>
              <w:ind w:left="737" w:right="0" w:hanging="6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u w:val="single"/>
              </w:rPr>
              <w:t>II этап.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993" w:leader="none"/>
                <w:tab w:val="left" w:pos="1134" w:leader="none"/>
              </w:tabs>
              <w:spacing w:before="0" w:after="0"/>
              <w:ind w:left="0" w:right="0"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Разработка проектной документации.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120 дней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suppressAutoHyphens w:val="true"/>
              <w:overflowPunct w:val="false"/>
              <w:bidi w:val="0"/>
              <w:spacing w:lineRule="auto" w:line="240" w:before="0" w:after="0"/>
              <w:ind w:left="737" w:right="0" w:hanging="62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u w:val="single"/>
              </w:rPr>
              <w:t>III этап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Разработка рабочей документации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даты разработки проектной документации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течение 30 дней</w:t>
            </w:r>
          </w:p>
        </w:tc>
      </w:tr>
    </w:tbl>
    <w:p>
      <w:pPr>
        <w:sectPr>
          <w:headerReference w:type="default" r:id="rId2"/>
          <w:type w:val="nextPage"/>
          <w:pgSz w:w="11906" w:h="16838"/>
          <w:pgMar w:left="1276" w:right="709" w:gutter="0" w:header="709" w:top="851" w:footer="0" w:bottom="709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1"/>
        </w:numPr>
        <w:ind w:left="360" w:right="0" w:hanging="360"/>
        <w:rPr>
          <w:rFonts w:ascii="Times New Roman" w:hAnsi="Times New Roman"/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145" cy="177800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0" cy="1778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Head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path="m0,0l-2147483645,0l-2147483645,-2147483646l0,-2147483646xe" stroked="f" o:allowincell="f" style="position:absolute;margin-left:0pt;margin-top:0.05pt;width:1.3pt;height:13.95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Header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Требования к качеству работ</w:t>
      </w:r>
    </w:p>
    <w:p>
      <w:pPr>
        <w:pStyle w:val="Normal"/>
        <w:keepNext w:val="true"/>
        <w:numPr>
          <w:ilvl w:val="0"/>
          <w:numId w:val="0"/>
        </w:numPr>
        <w:spacing w:before="120" w:after="120"/>
        <w:ind w:left="0" w:right="0" w:hanging="0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cs="Times New Roman"/>
          <w:bCs/>
          <w:i/>
          <w:sz w:val="24"/>
          <w:szCs w:val="24"/>
          <w:lang w:eastAsia="ru-RU"/>
        </w:rPr>
        <w:t>Таблица 6. Требования к качеству работ (Выполнение инженерных изысканий, разработка ПД, РД, СД)</w:t>
      </w:r>
    </w:p>
    <w:p>
      <w:pPr>
        <w:pStyle w:val="Normal"/>
        <w:keepNext w:val="true"/>
        <w:numPr>
          <w:ilvl w:val="0"/>
          <w:numId w:val="0"/>
        </w:numPr>
        <w:spacing w:before="120" w:after="120"/>
        <w:ind w:left="0" w:right="0" w:hanging="0"/>
        <w:jc w:val="both"/>
        <w:outlineLvl w:val="3"/>
        <w:rPr>
          <w:rFonts w:ascii="Times New Roman" w:hAnsi="Times New Roman" w:eastAsia="Calibri" w:cs="Times New Roman"/>
          <w:b/>
          <w:bCs/>
          <w:i/>
          <w:i/>
          <w:iCs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  <w:lang w:val="x-none" w:eastAsia="ru-RU"/>
        </w:rPr>
      </w:pPr>
      <w:r>
        <w:rPr>
          <w:rFonts w:eastAsia="Calibri" w:cs="Times New Roman"/>
          <w:b/>
          <w:bCs/>
          <w:i/>
          <w:iCs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  <w:lang w:val="x-none" w:eastAsia="ru-RU"/>
        </w:rPr>
        <w:t>Наименование работ/этапа работ (позиция №1 Таблицы 2): Разработка и согласование с Заказчиком проектной и рабочей документации</w:t>
      </w:r>
    </w:p>
    <w:p>
      <w:pPr>
        <w:pStyle w:val="Normal"/>
        <w:numPr>
          <w:ilvl w:val="0"/>
          <w:numId w:val="0"/>
        </w:numPr>
        <w:spacing w:before="120" w:after="120"/>
        <w:ind w:left="0" w:right="0" w:hanging="0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14979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2934"/>
        <w:gridCol w:w="9497"/>
        <w:gridCol w:w="1370"/>
      </w:tblGrid>
      <w:tr>
        <w:trPr>
          <w:trHeight w:val="562" w:hRule="atLeast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Подтверждение участником соответствия в виде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согласия с требованием</w:t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60"/>
              <w:ind w:left="0" w:right="0" w:firstLine="28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Нормативно-технические документы, определяющие требования к оформлению и содержанию проектной документации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tabs>
                <w:tab w:val="clear" w:pos="408"/>
                <w:tab w:val="left" w:pos="0" w:leader="none"/>
              </w:tabs>
              <w:spacing w:before="0" w:after="0"/>
              <w:ind w:left="0" w:right="0" w:firstLine="709"/>
              <w:contextualSpacing/>
              <w:jc w:val="both"/>
              <w:rPr/>
            </w:pPr>
            <w:hyperlink r:id="rId3">
              <w:r>
                <w:rPr>
                  <w:rStyle w:val="Hyperlink"/>
                  <w:color w:val="00000A"/>
                  <w:sz w:val="24"/>
                  <w:szCs w:val="24"/>
                </w:rPr>
                <w:t>Земельный кодекс Российской Федерации</w:t>
              </w:r>
            </w:hyperlink>
            <w:r>
              <w:rPr>
                <w:sz w:val="24"/>
                <w:szCs w:val="24"/>
              </w:rPr>
              <w:t>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tabs>
                <w:tab w:val="clear" w:pos="408"/>
                <w:tab w:val="left" w:pos="0" w:leader="none"/>
              </w:tabs>
              <w:spacing w:before="0" w:after="0"/>
              <w:ind w:left="0" w:right="0" w:firstLine="709"/>
              <w:contextualSpacing/>
              <w:jc w:val="both"/>
              <w:rPr/>
            </w:pPr>
            <w:hyperlink r:id="rId4">
              <w:r>
                <w:rPr>
                  <w:rStyle w:val="Hyperlink"/>
                  <w:color w:val="00000A"/>
                  <w:sz w:val="24"/>
                  <w:szCs w:val="24"/>
                </w:rPr>
                <w:t>Градостроительный кодекс Российской Федерации</w:t>
              </w:r>
            </w:hyperlink>
            <w:r>
              <w:rPr>
                <w:sz w:val="24"/>
                <w:szCs w:val="24"/>
              </w:rPr>
              <w:t>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tabs>
                <w:tab w:val="clear" w:pos="408"/>
                <w:tab w:val="left" w:pos="0" w:leader="none"/>
              </w:tabs>
              <w:spacing w:before="0" w:after="0"/>
              <w:ind w:left="0" w:right="0" w:firstLine="709"/>
              <w:contextualSpacing/>
              <w:jc w:val="both"/>
              <w:rPr/>
            </w:pPr>
            <w:hyperlink r:id="rId5">
              <w:r>
                <w:rPr>
                  <w:rStyle w:val="Hyperlink"/>
                  <w:color w:val="00000A"/>
                  <w:sz w:val="24"/>
                  <w:szCs w:val="24"/>
                </w:rPr>
                <w:t>Лесной кодекс Российской Федерации</w:t>
              </w:r>
            </w:hyperlink>
            <w:r>
              <w:rPr>
                <w:sz w:val="24"/>
                <w:szCs w:val="24"/>
              </w:rPr>
              <w:t>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tabs>
                <w:tab w:val="clear" w:pos="408"/>
                <w:tab w:val="left" w:pos="0" w:leader="none"/>
              </w:tabs>
              <w:spacing w:before="0" w:after="0"/>
              <w:ind w:left="0" w:right="0" w:firstLine="709"/>
              <w:contextualSpacing/>
              <w:jc w:val="both"/>
              <w:rPr/>
            </w:pPr>
            <w:hyperlink r:id="rId6">
              <w:r>
                <w:rPr>
                  <w:rStyle w:val="Hyperlink"/>
                  <w:color w:val="00000A"/>
                  <w:sz w:val="24"/>
                  <w:szCs w:val="24"/>
                </w:rPr>
                <w:t>Водный кодекс Российской Федерации</w:t>
              </w:r>
            </w:hyperlink>
            <w:r>
              <w:rPr>
                <w:sz w:val="24"/>
                <w:szCs w:val="24"/>
              </w:rPr>
              <w:t>;</w:t>
            </w:r>
          </w:p>
          <w:p>
            <w:pPr>
              <w:pStyle w:val="Standard"/>
              <w:widowControl w:val="false"/>
              <w:numPr>
                <w:ilvl w:val="1"/>
                <w:numId w:val="6"/>
              </w:numPr>
              <w:ind w:left="0" w:righ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 Президента Российской Федерации от 30.03.2022 № 166 "О мерах по обеспечению технологической независимости и безопасности критической информационной инфраструктуры российской федерации";</w:t>
            </w:r>
          </w:p>
          <w:p>
            <w:pPr>
              <w:pStyle w:val="Standard"/>
              <w:widowControl w:val="false"/>
              <w:numPr>
                <w:ilvl w:val="1"/>
                <w:numId w:val="6"/>
              </w:numPr>
              <w:ind w:left="0" w:righ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 Президента Российской Федерации от 01.05.2022 № 250 "О дополнительных мерах по обеспечению информационной безопасности Российской Федерации";</w:t>
            </w:r>
          </w:p>
          <w:p>
            <w:pPr>
              <w:pStyle w:val="Standard"/>
              <w:widowControl w:val="false"/>
              <w:numPr>
                <w:ilvl w:val="1"/>
                <w:numId w:val="6"/>
              </w:numPr>
              <w:ind w:left="0" w:righ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ФСТЭК от 25.12.2017 № 239 "об утверждении требований по обеспечению безопасности значимых объектов критической информационной инфраструктуры Российской Федерации";</w:t>
            </w:r>
          </w:p>
          <w:p>
            <w:pPr>
              <w:pStyle w:val="Standard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П-ИСМ-7.5-01.20-206-01 Положение об обеспечении безопасности значимых объектов критической информационной инфраструктуры АО «ДРСК»;</w:t>
            </w:r>
          </w:p>
          <w:p>
            <w:pPr>
              <w:pStyle w:val="Standard"/>
              <w:widowControl w:val="false"/>
              <w:numPr>
                <w:ilvl w:val="1"/>
                <w:numId w:val="6"/>
              </w:numPr>
              <w:tabs>
                <w:tab w:val="clear" w:pos="408"/>
                <w:tab w:val="left" w:pos="0" w:leader="none"/>
              </w:tabs>
              <w:spacing w:before="0" w:after="0"/>
              <w:ind w:left="0" w:righ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26.07.2017 N 187-ФЗ "О безопасности критической информационной инфраструктуры Российской Федерации»;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tabs>
                <w:tab w:val="clear" w:pos="408"/>
                <w:tab w:val="left" w:pos="0" w:leader="none"/>
              </w:tabs>
              <w:spacing w:before="0" w:after="0"/>
              <w:ind w:left="0" w:right="0" w:firstLine="709"/>
              <w:contextualSpacing/>
              <w:jc w:val="both"/>
              <w:rPr/>
            </w:pPr>
            <w:r>
              <w:rPr>
                <w:sz w:val="24"/>
                <w:szCs w:val="24"/>
              </w:rPr>
              <w:t xml:space="preserve">Федеральный закон </w:t>
            </w:r>
            <w:hyperlink r:id="rId7">
              <w:r>
                <w:rPr>
                  <w:rStyle w:val="Hyperlink"/>
                  <w:color w:val="00000A"/>
                  <w:sz w:val="24"/>
                  <w:szCs w:val="24"/>
                </w:rPr>
                <w:t>от 06.10.03 № 131-ФЗ</w:t>
              </w:r>
            </w:hyperlink>
            <w:r>
              <w:rPr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Региональные и местные нормативы градостроительного проектирования;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правовые акты Хабаровского края в области градостроительной деятельности.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25.06.2002 № 73-ФЗ «Об объектах культурного наследия (памятниках истории и культуры) народов Российской Федерации»;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Действующие технические регламенты, санитарные нормативы и правила, строительные нормы и правила, иные нормативные документы.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/>
            </w:pPr>
            <w:hyperlink r:id="rId8">
              <w:r>
                <w:rPr>
                  <w:rStyle w:val="Hyperlink"/>
                  <w:color w:val="00000A"/>
                  <w:sz w:val="24"/>
                  <w:szCs w:val="24"/>
                </w:rPr>
                <w:t>СП 42.13330.2016</w:t>
              </w:r>
            </w:hyperlink>
            <w:r>
              <w:rPr>
                <w:sz w:val="24"/>
                <w:szCs w:val="24"/>
              </w:rPr>
              <w:t>. Свод правил. Градостроительство. Планировка и застройка городских и сельских поселений. Актуализированная редакция СНиП 2.07.01-89 (Утв. Приказом Министерства строительства и жилищно-коммунального хозяйства РФ от 30 декабря 2016 г. N 1034/пр);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Положение о составе разделов проектной документации и требования к их содержанию (Утв. Постановлением Правительства РФ от 16.02.2008 г. №87).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21.1101-2020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ФЗ-123 «Технический регламент о требованиях пожарной безопасности» от 22.07.2008 г.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ПУЭ и ПТЭ (действующие издания);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И-ИСМ-6.3-01.08-4384-02 Инструкция по объему и периодичности испытаний кабелей 10-110 кв с изоляцией из сшитого полиэтилена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/>
            </w:pPr>
            <w:hyperlink r:id="rId9">
              <w:r>
                <w:rPr>
                  <w:rStyle w:val="Hyperlink"/>
                  <w:color w:val="00000A"/>
                  <w:sz w:val="24"/>
                  <w:szCs w:val="24"/>
                </w:rPr>
                <w:t>СП 47.13330.2016</w:t>
              </w:r>
            </w:hyperlink>
            <w:r>
              <w:rPr>
                <w:sz w:val="24"/>
                <w:szCs w:val="24"/>
              </w:rPr>
              <w:t xml:space="preserve">. Свод правил. Инженерные изыскания для строительства. Основные положения. (Актуализированная редакция </w:t>
            </w:r>
            <w:hyperlink r:id="rId10">
              <w:r>
                <w:rPr>
                  <w:rStyle w:val="Hyperlink"/>
                  <w:color w:val="00000A"/>
                  <w:sz w:val="24"/>
                  <w:szCs w:val="24"/>
                </w:rPr>
                <w:t>СНиП 11-02-96</w:t>
              </w:r>
            </w:hyperlink>
            <w:r>
              <w:rPr>
                <w:sz w:val="24"/>
                <w:szCs w:val="24"/>
              </w:rPr>
              <w:t xml:space="preserve">), утв. </w:t>
            </w:r>
            <w:hyperlink r:id="rId11">
              <w:r>
                <w:rPr>
                  <w:rStyle w:val="Hyperlink"/>
                  <w:color w:val="00000A"/>
                  <w:sz w:val="24"/>
                  <w:szCs w:val="24"/>
                </w:rPr>
                <w:t>Приказом Министерства строительства и жилищно-коммунального хозяйства Российской Федерации от 30 декабря 2016 г. N 1033/пр</w:t>
              </w:r>
            </w:hyperlink>
            <w:r>
              <w:rPr>
                <w:sz w:val="24"/>
                <w:szCs w:val="24"/>
              </w:rPr>
              <w:t>., c изменениями.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lineRule="auto" w:line="276" w:before="0" w:after="20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Распоряжение</w:t>
            </w:r>
            <w:r>
              <w:rPr>
                <w:sz w:val="24"/>
                <w:szCs w:val="24"/>
              </w:rPr>
              <w:t xml:space="preserve"> ПАО «РусГидро» от 06.04.2021 №146р «О применении региональных карт».</w:t>
            </w:r>
            <w:r>
              <w:rPr>
                <w:rFonts w:eastAsia="Calibri"/>
                <w:sz w:val="24"/>
                <w:szCs w:val="24"/>
              </w:rPr>
              <w:t xml:space="preserve"> Региональные карты климатического районирования (РККР) Хабаровского края, утвержденные Приказами АО «ДРСК»  от 15.04.2021 №163 и  от 18.10.2021 №346. РККК считать приоритетными относительно других источников аналогичной информации (Правила устройства электроустановок; РККР, разработанные ГУ «Главная геофизическая обсерватория им. А.И. Воейкова» и др.)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lineRule="auto" w:line="276" w:before="0" w:after="0"/>
              <w:ind w:left="0" w:right="0" w:firstLine="709"/>
              <w:contextualSpacing/>
              <w:jc w:val="both"/>
              <w:rPr/>
            </w:pPr>
            <w:hyperlink r:id="rId12">
              <w:r>
                <w:rPr>
                  <w:rStyle w:val="Hyperlink"/>
                  <w:color w:val="00000A"/>
                  <w:sz w:val="24"/>
                  <w:szCs w:val="24"/>
                </w:rPr>
                <w:t>ГОСТ Р 55105-2019</w:t>
              </w:r>
            </w:hyperlink>
            <w:r>
              <w:rPr>
                <w:sz w:val="24"/>
                <w:szCs w:val="24"/>
              </w:rPr>
              <w:t>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/>
            </w:pPr>
            <w:hyperlink r:id="rId13">
              <w:r>
                <w:rPr>
                  <w:rStyle w:val="Hyperlink"/>
                  <w:color w:val="00000A"/>
                  <w:sz w:val="24"/>
                  <w:szCs w:val="24"/>
                </w:rPr>
                <w:t>ГОСТ Р 56302—2014</w:t>
              </w:r>
            </w:hyperlink>
            <w:r>
              <w:rPr>
                <w:sz w:val="24"/>
                <w:szCs w:val="24"/>
              </w:rPr>
              <w:t>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/>
            </w:pPr>
            <w:hyperlink r:id="rId14">
              <w:r>
                <w:rPr>
                  <w:rStyle w:val="Hyperlink"/>
                  <w:color w:val="00000A"/>
                  <w:sz w:val="24"/>
                  <w:szCs w:val="24"/>
                </w:rPr>
                <w:t>ГОСТ Р 56303-2014</w:t>
              </w:r>
            </w:hyperlink>
            <w:r>
              <w:rPr>
                <w:sz w:val="24"/>
                <w:szCs w:val="24"/>
              </w:rPr>
              <w:t>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исполнению;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/>
            </w:pPr>
            <w:r>
              <w:rPr>
                <w:bCs/>
                <w:sz w:val="24"/>
                <w:szCs w:val="24"/>
              </w:rPr>
              <w:t xml:space="preserve">Правила создания (модернизации) комплексов и устройств релейной защиты и автоматики в энергосистеме, утверждённые приказом Министерства энергетики РФ </w:t>
              <w:br/>
            </w:r>
            <w:hyperlink r:id="rId15">
              <w:r>
                <w:rPr>
                  <w:rStyle w:val="Hyperlink"/>
                  <w:bCs/>
                  <w:color w:val="00000A"/>
                  <w:sz w:val="24"/>
                  <w:szCs w:val="24"/>
                </w:rPr>
                <w:t>от 13 июля 2020 г. № 556</w:t>
              </w:r>
            </w:hyperlink>
            <w:r>
              <w:rPr>
                <w:bCs/>
                <w:sz w:val="24"/>
                <w:szCs w:val="24"/>
              </w:rPr>
              <w:t>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58669-2019 «Единая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замыканиях».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 политика Группы РусГидро.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Минэнерго России от 17.02.2023 N 82 "Об утверждении Порядка раскрытия цифровых информационных моделей электроэнергетических систем и 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 и о внесении изменений в Правила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энергии, утвержденные приказом Минэнерго России от 28 декабря 2020 г. N 1195".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Минэнерго России от 13.02.2019 N 97 "Об утверждении требований к каналам связи для функционирования релейной защиты и автоматики".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Минэнерго России от 10.07.2020 N 546 "Об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г. N 80, от 13 февраля 2019 г. N 100, от 13 февраля 2019 г. N 101".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Минэнерго России от 13.02.2019 N 100 (ред. от 15.01.2024) "Об утверждении Правил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автоматики".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59550-2021. Национальный стандарт Российской Федерации. 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требования".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58601-2019.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требования".</w:t>
            </w:r>
          </w:p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энергетики Российской Федерации от 15.01.2024 № 6 . "Об утверждении Методических указаний по технологическому проектированию подстанций переменного тока с высшим напряжением 35 - 750 кВ".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0" w:leader="none"/>
                <w:tab w:val="left" w:pos="993" w:leader="none"/>
              </w:tabs>
              <w:spacing w:before="0" w:after="0"/>
              <w:ind w:left="0" w:right="0" w:firstLine="7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-SA"/>
              </w:rPr>
              <w:t>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пункте.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Этапы разработки проекта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I-й этап: Предпроектное обследование.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Инженерные изыскания. Работы по оформлению правоустанавливающих, исходно-разрешительных документов на использование земельных участков.</w:t>
            </w:r>
          </w:p>
          <w:p>
            <w:pPr>
              <w:pStyle w:val="Standard"/>
              <w:widowControl w:val="false"/>
              <w:numPr>
                <w:ilvl w:val="1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shd w:fill="FFFFFF" w:val="clear"/>
              </w:rPr>
              <w:t>Предпроектное работы.</w:t>
            </w:r>
          </w:p>
          <w:p>
            <w:pPr>
              <w:pStyle w:val="Normal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предполагаемой трассы ЛЭП 6 кВ, ПС 110/35/6 кВ Южная.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Предпроектное обследование ЛЭП проводится проектной организацией самостоятельно, ПС Южная в присутствии представителей Заказчика, с выездом специалистов на объект. Заказчик обеспечивает доступ на объект и оказывает необходимое содействие в сборе исходных данных. Результаты предпроектного обследования согласовать с Заказчиком</w:t>
            </w:r>
          </w:p>
          <w:p>
            <w:pPr>
              <w:pStyle w:val="Normal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расчет площади земельных участков для размещения Объекта проектирования, с учетом следующих требований: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567" w:leader="none"/>
              </w:tabs>
              <w:spacing w:before="6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ширина полосы отвода должна соответствовать нормам отвода земель. В расчете площади земельных участков для размещения ЛЭП указать ширину полосы отвода для земельных участков, покрытых и непокрытых лесными насаждениями.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567" w:leader="none"/>
              </w:tabs>
              <w:spacing w:before="6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при реконструкции Объектов, размещении временных строений и сооружений преимущественно используется существующую охранную зону и незалесенные участки;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земельные участки, необходимые для обеспечения деятельности подрядной организации, осуществляющей строительные работы (временные сооружения, включая временный поселок строителя и т.д.), в землеотвод для размещения Объекта не включаются. </w:t>
            </w:r>
          </w:p>
          <w:p>
            <w:pPr>
              <w:pStyle w:val="Normal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Отчет с результатами предпроектного обследования оформить отдельным томом. </w:t>
            </w:r>
          </w:p>
          <w:p>
            <w:pPr>
              <w:pStyle w:val="Standard"/>
              <w:widowControl w:val="false"/>
              <w:numPr>
                <w:ilvl w:val="1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i/>
                <w:iCs/>
                <w:color w:val="000000" w:themeColor="text1"/>
                <w:sz w:val="24"/>
                <w:szCs w:val="24"/>
                <w:shd w:fill="FFFFFF" w:val="clear"/>
              </w:rPr>
              <w:t xml:space="preserve">Инженерные изыскания 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Инженерные изыскания для проектирования объекта следует выполнять в соответствии с требованиями действующих технических регламентов и сводов правил по видам инженерных изысканий: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Выполнить комплекс инженерных изысканий необходимых для подготовки проектной документации объектов капитального строительства, в объеме: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  <w:tab w:val="left" w:pos="1080" w:leader="none"/>
              </w:tabs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•</w:t>
            </w:r>
            <w:r>
              <w:rPr>
                <w:color w:val="000000"/>
                <w:sz w:val="24"/>
                <w:szCs w:val="24"/>
                <w:shd w:fill="FFFFFF" w:val="clear"/>
              </w:rPr>
              <w:tab/>
              <w:t>инженерно-геодезические изыскания;</w:t>
            </w:r>
          </w:p>
          <w:p>
            <w:pPr>
              <w:pStyle w:val="Normal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Подготовить программу инженерных изысканий, устанавливающую состав и объем инженерных изысканий и метод их выполнения. Представить Программу инженерных изысканий Заказчику для утверждения в срок не менее чем за 10 рабочих дней, до начала работ по выполнению инженерных изысканий.</w:t>
            </w:r>
          </w:p>
          <w:p>
            <w:pPr>
              <w:pStyle w:val="Normal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Результаты инженерных изысканий должны отвечать установленным требованиям и оформляться в виде технического отчета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регулировании.</w:t>
            </w:r>
          </w:p>
          <w:p>
            <w:pPr>
              <w:pStyle w:val="Normal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 xml:space="preserve">В рамках данного этапа работ получить согласование от уполномоченного органа по охране объектов культурного наследия о возможности использования земель, подлежащих воздействию земляных, строительных, мелиоративных, хозяйственных работ, организовать работы предусмотренные Федеральным законом от 25.06.2002 N 73-ФЗ (ред. от 26.12.2024) "Об объектах культурного наследия (памятниках истории и культуры) народов Российской Федерации". </w:t>
            </w:r>
          </w:p>
          <w:p>
            <w:pPr>
              <w:pStyle w:val="Normal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  <w:tab w:val="left" w:pos="993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инженерно-геодезических изысканий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>Выполнить Инженерные изыскания,</w:t>
            </w:r>
            <w:r>
              <w:rPr>
                <w:sz w:val="24"/>
                <w:szCs w:val="24"/>
              </w:rPr>
              <w:t xml:space="preserve"> в объеме необходимом для проектирования.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Перед началом выполнения работ подготовить и согласовать с Заказчиком задание на проведение инженерно-геодезических </w:t>
            </w:r>
            <w:bookmarkStart w:id="10" w:name="_GoBack_Копия_1"/>
            <w:bookmarkEnd w:id="10"/>
            <w:r>
              <w:rPr>
                <w:color w:val="000000"/>
                <w:sz w:val="24"/>
                <w:szCs w:val="24"/>
              </w:rPr>
              <w:t>изысканий.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  <w:tab w:val="left" w:pos="993" w:leader="none"/>
              </w:tabs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Подготовить программу инженерно-геодезических изысканий, устанавливающую состав и объем инженерных изысканий и метод их выполнения и представить Программу инженерных изысканий Заказчику для утверждения.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  <w:tab w:val="left" w:pos="993" w:leader="none"/>
              </w:tabs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Выполнить инженерно-геодезические изыскания, необходимые для подготовки проектной документации в объеме, необходимом для разработки и обоснования проектных решений, в т.ч создание опорных геодезических сетей, создание и обновление инженерно-топографических планов, трассирование линейных объектов.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  <w:tab w:val="left" w:pos="993" w:leader="none"/>
              </w:tabs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 xml:space="preserve">Результаты инженерных изысканий оформляются и предоставляются заказчику в виде технического отчета о выполнении инженерных-геодезических изысканий, состоящего из текстовой и графической частей, а также приложений к нему в текстовой, графической, цифровой форме. 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  <w:tab w:val="left" w:pos="993" w:leader="none"/>
              </w:tabs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По окончании работ представить заказчику подтверждающие документы, о направлении отчета по инженерно-геодезическим изысканиям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Федерации, органы местного самоуправления муниципальных образований, применительно к территориям, на которых выполнены инженерно-геодезические изыскания.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Работы по оформлению правоустанавливающих, исходно-разрешительных документов на использование земельных участков.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отношении объектов строительства, планируемых к расположению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сервитута.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Первый этап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Standard"/>
              <w:widowControl w:val="false"/>
              <w:numPr>
                <w:ilvl w:val="4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 с представителем АО «ДРСК» на предполагаемое место строительства, для определения трассы объекта;</w:t>
            </w:r>
          </w:p>
          <w:p>
            <w:pPr>
              <w:pStyle w:val="Standard"/>
              <w:widowControl w:val="false"/>
              <w:numPr>
                <w:ilvl w:val="4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 предварительно выбранного варианта прохождения трассы, получить сведения из Единого государственного реестра недвижимости (ЕГРН)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виде кадастрового плана территорий (КПТ) и (или) выписки об основных характеристиках и зарегистрированных правах на объект недвижимости, в случае наличия земель лесного фонда получить выписки из государственного лесного реестра в Министерстве лесного хозяйства лесопереработки Хабаровского края.</w:t>
            </w:r>
          </w:p>
          <w:p>
            <w:pPr>
              <w:pStyle w:val="Standard"/>
              <w:widowControl w:val="false"/>
              <w:numPr>
                <w:ilvl w:val="4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Изготовить схему границ предполагаемых к использованию земель или части земельного участка на кадастровом плане территории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указанием координат характерных точек границ территории –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недвижимости);</w:t>
            </w:r>
          </w:p>
          <w:p>
            <w:pPr>
              <w:pStyle w:val="Standard"/>
              <w:widowControl w:val="false"/>
              <w:numPr>
                <w:ilvl w:val="4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Согласовать с Заказчиком схему границ предполагаемых к использованию земель или части земельного участка на кадастровом плане территории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указанием координат характерных точек границ территории.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180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Второй этап:</w:t>
            </w:r>
          </w:p>
          <w:p>
            <w:pPr>
              <w:pStyle w:val="Standard"/>
              <w:widowControl w:val="false"/>
              <w:numPr>
                <w:ilvl w:val="4"/>
                <w:numId w:val="7"/>
              </w:numPr>
              <w:tabs>
                <w:tab w:val="clear" w:pos="408"/>
                <w:tab w:val="left" w:pos="709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 в натуру с закреплением на местности границ, предполагаемых к использованию земель или части земельного участка, после получения разрешения на размещение объекта.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отношении объектов строительства, планируемых к расположению на частях земельных участков, находящихся в государственной и муниципальной собственности, в пользовании третьих лиц, а также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собственности физических, юридических лиц.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Первый этап:</w:t>
            </w:r>
          </w:p>
          <w:p>
            <w:pPr>
              <w:pStyle w:val="Standard"/>
              <w:widowControl w:val="false"/>
              <w:numPr>
                <w:ilvl w:val="4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 с представителем АО «ДРСК» на предполагаемое место строительства, для определения трассы объекта;</w:t>
            </w:r>
          </w:p>
          <w:p>
            <w:pPr>
              <w:pStyle w:val="Standard"/>
              <w:widowControl w:val="false"/>
              <w:numPr>
                <w:ilvl w:val="4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 предварительно выбранного варианта прохождения трассы, получить сведения из Единого государственного реестра недвижимости (ЕГРН)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виде кадастрового плана территорий (КПТ) и (или) выписки об основных характеристиках и зарегистрированных правах на объект недвижимости;</w:t>
            </w:r>
          </w:p>
          <w:p>
            <w:pPr>
              <w:pStyle w:val="Standard"/>
              <w:widowControl w:val="false"/>
              <w:numPr>
                <w:ilvl w:val="4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Согласовать с Правообладателем земельного участка:</w:t>
            </w:r>
          </w:p>
          <w:p>
            <w:pPr>
              <w:pStyle w:val="Standard"/>
              <w:widowControl w:val="false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схему границ сервитута на кадастровом плане территории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указанием координат характерных точек границ территории земельного участка, применительно:</w:t>
            </w:r>
          </w:p>
          <w:p>
            <w:pPr>
              <w:pStyle w:val="Standard"/>
              <w:widowControl w:val="false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объектов строительства, планируемых к расположению на частях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земельных участков, находящихся в государственной и муниципальной собственности, и обремененных правами третьих лиц; применительно для объектов строительства, планируемых к расположению на частях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земельных участков, находящихся в собственности третьих лиц, с учетом требований, изложенных в п. 6.5. настоящего Технического задания;</w:t>
            </w:r>
          </w:p>
          <w:p>
            <w:pPr>
              <w:pStyle w:val="Standard"/>
              <w:widowControl w:val="false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(применительно к земельным участкам, находящимся в собственности третьих лиц, на землях лесного фонда), с учетом требований, изложенных в п. 6.6. настоящего Технического задания;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Второй этап: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 в натуру земельного участка/части земельного участка, с закреплением границ на местности, после уведомления Заказчиком о проведенной государственной регистрации соглашения об установлении сервитута (применительно для объектов строительства, планируемых к расположению на частях земельных участков, находящихся в собственности физических или юридических лиц)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либо уведомления Заказчиком о заключенном соглашении об установлении сервитута, на основании подготовленных схем, предусмотренных п. 5.2.1.3 настоящего Технического задания.</w:t>
            </w:r>
          </w:p>
          <w:p>
            <w:pPr>
              <w:pStyle w:val="Standard"/>
              <w:widowControl w:val="false"/>
              <w:tabs>
                <w:tab w:val="clear" w:pos="408"/>
                <w:tab w:val="left" w:pos="3318" w:leader="none"/>
              </w:tabs>
              <w:ind w:left="709" w:hanging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Дополнительные условия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180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расположение объекта с максимальным его размещением на землях и земельных участках, находящихся в государственной и муниципальной собственности, свободных от прав третьих лиц.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180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строительства, планируемых к расположению на землях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 – руководствоваться постановлением Правительства Хабаровского края от 7 сентября 2017 года N 364-пр «Об утверждении Положения о порядке и об условиях размещения объектов, виды которых установлены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на территории Хабаровского края и о признании утратившими силу отдельных постановлений Правительства Хабаровского края</w:t>
            </w:r>
            <w:r>
              <w:rPr>
                <w:bCs/>
                <w:iCs/>
                <w:sz w:val="24"/>
                <w:szCs w:val="24"/>
              </w:rPr>
              <w:t>».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567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размеры формируемых границ сервитутов:</w:t>
            </w:r>
          </w:p>
          <w:p>
            <w:pPr>
              <w:pStyle w:val="Standard"/>
              <w:widowControl w:val="false"/>
              <w:tabs>
                <w:tab w:val="clear" w:pos="408"/>
                <w:tab w:val="left" w:pos="567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частных (применительно для объектов строительства, планируемых к расположению на частях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земельных участков, находящихся в государственной и муниципальной собственности, и обремененных правами третьих лиц) -  в соответствии с Правилами определения размеров земельных участков для размещения воздушных линий электропередачи и опор линии связи, обслуживающих электрические сети, утвержденными постановлением Правительства Российской Федерации от 11.08.2003 № 486 и нормами отвода земель для электрических сетей напряжением 0,38 - 750 кВ. № 14278ТМ-Т1 (утверждено Минтопэнерго 20.05.1994);</w:t>
            </w:r>
          </w:p>
          <w:p>
            <w:pPr>
              <w:pStyle w:val="Standard"/>
              <w:widowControl w:val="false"/>
              <w:tabs>
                <w:tab w:val="clear" w:pos="408"/>
                <w:tab w:val="left" w:pos="567" w:leader="none"/>
                <w:tab w:val="left" w:pos="1134" w:leader="none"/>
                <w:tab w:val="left" w:pos="1418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публичных (применительно для объектов строительства, планируемых к расположению на частях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земельных участков, находящихся в собственности третьих лиц) – 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N 160.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567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Схему границ предполагаемых к использованию земель или части земельного участка изготовить:</w:t>
            </w:r>
          </w:p>
          <w:p>
            <w:pPr>
              <w:pStyle w:val="Standard"/>
              <w:widowControl w:val="false"/>
              <w:tabs>
                <w:tab w:val="clear" w:pos="408"/>
                <w:tab w:val="left" w:pos="567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кадастровом плане территории, в системе координат МСК 27;</w:t>
            </w:r>
          </w:p>
          <w:p>
            <w:pPr>
              <w:pStyle w:val="Standard"/>
              <w:widowControl w:val="false"/>
              <w:tabs>
                <w:tab w:val="clear" w:pos="408"/>
                <w:tab w:val="left" w:pos="567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один экземпляр на бумажном носителе, и в электронном виде (формат *.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>, *.</w:t>
            </w:r>
            <w:r>
              <w:rPr>
                <w:color w:val="000000"/>
                <w:sz w:val="24"/>
                <w:szCs w:val="24"/>
                <w:lang w:val="en-US"/>
              </w:rPr>
              <w:t>doc</w:t>
            </w:r>
            <w:r>
              <w:rPr>
                <w:color w:val="000000"/>
                <w:sz w:val="24"/>
                <w:szCs w:val="24"/>
              </w:rPr>
              <w:t>);</w:t>
            </w:r>
          </w:p>
          <w:p>
            <w:pPr>
              <w:pStyle w:val="Standard"/>
              <w:widowControl w:val="false"/>
              <w:tabs>
                <w:tab w:val="clear" w:pos="408"/>
                <w:tab w:val="left" w:pos="567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Схему границ сервитута на кадастровом плане территории изготовить:</w:t>
            </w:r>
          </w:p>
          <w:p>
            <w:pPr>
              <w:pStyle w:val="Standard"/>
              <w:widowControl w:val="false"/>
              <w:tabs>
                <w:tab w:val="clear" w:pos="408"/>
                <w:tab w:val="left" w:pos="567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системе координат МСК 27;</w:t>
            </w:r>
          </w:p>
          <w:p>
            <w:pPr>
              <w:pStyle w:val="Standard"/>
              <w:widowControl w:val="false"/>
              <w:tabs>
                <w:tab w:val="clear" w:pos="408"/>
                <w:tab w:val="left" w:pos="567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один экземпляр на бумажном носителе, и в электронном виде (формат *.</w:t>
            </w:r>
            <w:r>
              <w:rPr>
                <w:color w:val="000000"/>
                <w:sz w:val="24"/>
                <w:szCs w:val="24"/>
                <w:lang w:val="en-US"/>
              </w:rPr>
              <w:t>pdf</w:t>
            </w:r>
            <w:r>
              <w:rPr>
                <w:color w:val="000000"/>
                <w:sz w:val="24"/>
                <w:szCs w:val="24"/>
              </w:rPr>
              <w:t>, *.</w:t>
            </w:r>
            <w:r>
              <w:rPr>
                <w:color w:val="000000"/>
                <w:sz w:val="24"/>
                <w:szCs w:val="24"/>
                <w:lang w:val="en-US"/>
              </w:rPr>
              <w:t>doc</w:t>
            </w:r>
            <w:r>
              <w:rPr>
                <w:color w:val="000000"/>
                <w:sz w:val="24"/>
                <w:szCs w:val="24"/>
              </w:rPr>
              <w:t>);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Росреестра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</w:t>
            </w:r>
          </w:p>
          <w:p>
            <w:pPr>
              <w:pStyle w:val="Standard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567" w:leader="none"/>
                <w:tab w:val="left" w:pos="3318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Схему границ предполагаемых к использованию земель или части земельного участка изготовить с учётом требований приказа Федеральной службы государственной регистрации кадастра и картографии от 19.04.2022 № П/0148.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Срок выполнения: в течение 120 дней с даты заключения договора.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II-й этап: Разработка проектной документации. 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numPr>
                <w:ilvl w:val="1"/>
                <w:numId w:val="7"/>
              </w:numPr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Разработать, согласовать с АО «ДРСК» и выдать проектную документацию в объеме, достаточном для организации закупок подрядных работ оборудования и МТР, разработки рабочей документации. При этом выполнить: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ind w:left="0" w:righ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ПС Южная с учетом раздела 3 настоящего ТЗ: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главную электрическую схему подстанции;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конструктивные и компоновочные решения РУ;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генеральный план ПС с нанесением на чертеже существующего и вновь устанавливаемого оборудования (для реконструкции, расширения);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  <w:tab/>
              <w:t>конструктивные и компоновочные решения;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  <w:tab/>
              <w:t xml:space="preserve">решения по системам РЗА, ПА; 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  <w:tab/>
              <w:t>план заходов проектируемой КЛ;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color w:val="050000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ind w:left="0" w:righ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 xml:space="preserve">Для ЛЭП 6 кВ </w:t>
            </w:r>
            <w:r>
              <w:rPr>
                <w:color w:val="000000"/>
                <w:sz w:val="24"/>
                <w:szCs w:val="24"/>
              </w:rPr>
              <w:t>с учетом раздела 3 настоящего ТЗ</w:t>
            </w:r>
            <w:r>
              <w:rPr>
                <w:color w:val="050000"/>
                <w:sz w:val="24"/>
                <w:szCs w:val="24"/>
              </w:rPr>
              <w:t>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>- точки присоединения к сетям;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>- основные технические решения, в т.ч. по применению типовых или неунифицированных, индивидуально сконструированных строительных конструкций (при необходимости);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>- характеристики пропускной способности КЛ в обе стороны (учитывая нормированную плотность тока);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>- протяженность и вариант прохождения трассы;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>- количество цепей;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>- линейную изоляцию (тип кабеля);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50000"/>
                <w:sz w:val="24"/>
                <w:szCs w:val="24"/>
              </w:rPr>
              <w:t>- способ прокладки КЛ, схему заходов и подключения КЛ к ПС;</w:t>
            </w:r>
          </w:p>
          <w:p>
            <w:pPr>
              <w:pStyle w:val="Normal"/>
              <w:widowControl w:val="false"/>
              <w:numPr>
                <w:ilvl w:val="3"/>
                <w:numId w:val="7"/>
              </w:numPr>
              <w:tabs>
                <w:tab w:val="clear" w:pos="408"/>
                <w:tab w:val="left" w:pos="567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Разработать варианты размещения ЛЭП: 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567" w:leader="none"/>
              </w:tabs>
              <w:spacing w:before="6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планировать расположение объекта с максимальным его размещением на землях и земельных участках, находящихся в государственной и муниципальной собственности, свободных от прав третьих лиц, с наименьшим количеством наложений на земельные участки третьих лиц;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567" w:leader="none"/>
              </w:tabs>
              <w:spacing w:before="6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исключить либо минимизировать наложения на земельные участки, находящиеся в ведении Министерства обороны Российской Федерации; 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567" w:leader="none"/>
              </w:tabs>
              <w:spacing w:before="6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исключить либо минимизировать площади вырубки леса, памятники историко-культурного наследия, особо охраняемые территории, месторождения полезных ископаемых.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567" w:leader="none"/>
              </w:tabs>
              <w:spacing w:before="6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Варианты места размещения ЛЭП отразить в графических материалах и в таблице по форме </w:t>
            </w:r>
            <w:r>
              <w:rPr>
                <w:b/>
                <w:bCs/>
                <w:color w:val="000000"/>
                <w:sz w:val="24"/>
                <w:szCs w:val="24"/>
              </w:rPr>
              <w:t>Приложения 3</w:t>
            </w:r>
            <w:r>
              <w:rPr>
                <w:color w:val="000000"/>
                <w:sz w:val="24"/>
                <w:szCs w:val="24"/>
              </w:rPr>
              <w:t xml:space="preserve"> к настоящему ТЗ в разрезе каждого объекта (ЛЭП) отдельно, с указанием информации о протяженности, площади, количестве пересечений с инфраструктурными, социальными, природными и режимными объектами, количестве земельных участков, требующихся для размещения объектов проектирования, стоимости объектов проектирования, включая размер платы, связанный с использованием земельных участков, и иное. 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567" w:leader="none"/>
              </w:tabs>
              <w:spacing w:before="6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Наиболее оптимальный вариант размещения ЛЭП отразить в выводах с указанием их местоположения с наименованиями муниципальных образований, включая наименования городских, сельских поселений, муниципальных районов/округов, городских округов, межселенных территорий и т.д., субъектов, в соответствии с уставами и/или законами муниципальных образований и иными источниками информации. 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 предусмотреть: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Обеспечить ввод кабельной системы в эксплуатацию в соответствии с требованиями действующих НТД.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проектировании кабельной линии в ом числе руководствоваться требованиями инструкций заводов изготовителей силового кабеля и муфт.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Предусмотреть мероприятия по обеспечению минимального времени ограничения электроснабжения потребителей при производстве работ, либо предусмотреть мероприятия по осуществление электроснабжения потребителей на период строительства. Организацию указанных работ должна производиться вне отопительного сезона.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Обеспечить наличие и оформление охранной зоны проектируемой КЛ, в соответствии с Постановлением Правительства РФ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284" w:leader="none"/>
                <w:tab w:val="left" w:pos="567" w:leader="none"/>
                <w:tab w:val="left" w:pos="993" w:leader="none"/>
                <w:tab w:val="left" w:pos="1134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 выдать проектную документацию в объеме, достаточном для  организации закупок подрядных работ и оборудования, разработки рабочей документации (при необходимости предусмотреть обоснование и согласование с Заказчиком основных технических решений по объекту в более ранний срок).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567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Одновременно с первичным направлением на рассмотрение и согласование томов проектной документации с Заказчиком, направить перечень томов проектной документации, подготавливаемых в рамках настоящего проекта. </w:t>
            </w:r>
          </w:p>
          <w:p>
            <w:pPr>
              <w:pStyle w:val="ListParagraph"/>
              <w:widowControl w:val="false"/>
              <w:tabs>
                <w:tab w:val="clear" w:pos="408"/>
                <w:tab w:val="left" w:pos="284" w:leader="none"/>
                <w:tab w:val="left" w:pos="567" w:leader="none"/>
              </w:tabs>
              <w:spacing w:before="0" w:after="0"/>
              <w:ind w:left="0" w:righ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При направлении откорректированных материалов проектной документации разработчиком должны быть приложены ответы на замечания с указанием разделов и страниц проектной документации, в которые были внесены изменения. Кроме того, указанные изменения должны быть выделены цветом по тексту документов, предоставлена таблица устранения выданных замечаний/таблица разногласий по выданным замечаниям.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и выдать сметную документацию, в соответствии с п.28 Положения о составе разделов проектной документации и требованиях к их содержанию.  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 выдать конкурсную документацию в объеме, достаточном для проведения закупок подрядных работ на выполнение СМР, техническую документацию для проведения закупок оборудования и материалов.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результатам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выполненные проектные материалы с пояснительной запиской предоставить Заказчику для последующего рассмотрения и согласования с профильными структурными подразделениями АО «ДРСК и смежными организациями.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 разработке рабочей документации (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этапу) приступить после определения Заказчиком поставщиков оборудования.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Итогом 1 этапа является утверждение Заказчиком проектной документации.   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  <w:shd w:fill="81D41A" w:val="clear"/>
              </w:rPr>
            </w:pPr>
            <w:r>
              <w:rPr>
                <w:sz w:val="24"/>
                <w:szCs w:val="24"/>
                <w:shd w:fill="81D41A" w:val="clear"/>
              </w:rPr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  <w:shd w:fill="FFFFFF" w:val="clear"/>
              </w:rPr>
              <w:t>III-й этап:</w:t>
            </w:r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  <w:lang w:bidi="ru-RU"/>
              </w:rPr>
              <w:t>Разработка, согласование с АО «ДРСК» рабочей документации, обеспечивающей реализацию принятых в ПД технических решений</w:t>
            </w:r>
            <w:r>
              <w:rPr>
                <w:sz w:val="24"/>
                <w:szCs w:val="24"/>
                <w:lang w:bidi="ru-RU"/>
              </w:rPr>
              <w:t xml:space="preserve">. 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567" w:leader="none"/>
              </w:tabs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  <w:shd w:fill="81D41A" w:val="clear"/>
              </w:rPr>
            </w:pPr>
            <w:r>
              <w:rPr>
                <w:sz w:val="24"/>
                <w:szCs w:val="24"/>
                <w:shd w:fill="81D41A" w:val="clear"/>
              </w:rPr>
            </w:r>
          </w:p>
          <w:p>
            <w:pPr>
              <w:pStyle w:val="Standard"/>
              <w:widowControl w:val="false"/>
              <w:numPr>
                <w:ilvl w:val="1"/>
                <w:numId w:val="7"/>
              </w:numPr>
              <w:tabs>
                <w:tab w:val="clear" w:pos="408"/>
                <w:tab w:val="left" w:pos="567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рабочую документацию, обеспечивающую реализацию принятых в утвержденной проектной документации технических решений объекта, необходимых для производства строительно-монтажных и пусконаладочных работ.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567" w:leader="none"/>
                <w:tab w:val="left" w:pos="1080" w:leader="none"/>
              </w:tabs>
              <w:spacing w:before="0"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по проектированию считаются выполненными после утверждения Заказчиком проектно-сметной документации.</w:t>
            </w:r>
          </w:p>
          <w:p>
            <w:pPr>
              <w:pStyle w:val="Standard"/>
              <w:widowControl w:val="false"/>
              <w:numPr>
                <w:ilvl w:val="2"/>
                <w:numId w:val="7"/>
              </w:numPr>
              <w:tabs>
                <w:tab w:val="clear" w:pos="408"/>
                <w:tab w:val="left" w:pos="-3402" w:leader="none"/>
                <w:tab w:val="left" w:pos="-2127" w:leader="none"/>
                <w:tab w:val="left" w:pos="567" w:leader="none"/>
                <w:tab w:val="left" w:pos="709" w:leader="none"/>
              </w:tabs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Результатом выполнения работ является согласованная со всеми заинтересованными организациями, утвержденная Заказчиком проектная документация, в том числе сметная документация, рабочая документация по объектам, указанным в настоящем техническом задании.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200"/>
              <w:jc w:val="left"/>
              <w:rPr>
                <w:rFonts w:ascii="Times New Roman" w:hAnsi="Times New Roman" w:eastAsia="Calibri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Особые условия работ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bidi="ar-SA"/>
              </w:rPr>
              <w:t>Разделы проектно-сметной документации выполнить в соответствии с Положением о составе разделов проектной документации и требованиях к их содержанию (Утв. Постановлением Правительства РФ от 16.02.2008г. № 87) и ГОСТ Р 21.101-2020 Основные требования к проектной и рабочей документации.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408"/>
                <w:tab w:val="left" w:pos="1040" w:leader="none"/>
              </w:tabs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bidi="ar-SA"/>
              </w:rPr>
              <w:t>Разработанная проектная и рабочая документация является собственностью Заказчика и передача её третьим лицам без его согласия запрещается.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bidi="ar-SA"/>
              </w:rPr>
              <w:t>Исключительные права на разработанную в рамках договора проектную документацию и на результаты выполнения инженерных изысканий принадлежат Заказчику с момента приемки проектной документации и результатов выполненных инженерных изысканий. Заказчик вправе использовать разработанную Подрядчиком в рамках договора проектную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408"/>
                <w:tab w:val="left" w:pos="2340" w:leader="none"/>
                <w:tab w:val="left" w:pos="3060" w:leader="none"/>
              </w:tabs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bidi="ar-SA"/>
              </w:rPr>
              <w:t>Проектная организация осуществляет от лица Заказчика получение по проекту всех необходимых согласований и заключений.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false"/>
              <w:spacing w:lineRule="auto" w:line="252" w:before="0" w:after="0"/>
              <w:ind w:left="0" w:righ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bidi="ar-SA"/>
              </w:rPr>
              <w:t>В случае выявления на этапе выполнения строительно-монтажных и пуско-наладочных работ ошибок, допущенных проектной организацией при выполнении работ, проектная организация обязуется обеспечить безвозмездную корректировку технических решений с устранением несоответствий. Доработка технических решений не должна приводить к переносу срока ввода в эксплуатацию объекта.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lineRule="auto" w:line="252" w:before="0" w:after="0"/>
              <w:ind w:left="0" w:right="0" w:hanging="0"/>
              <w:contextualSpacing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bidi="ar-SA"/>
              </w:rPr>
              <w:t xml:space="preserve">Разработка сметной документации осуществляется в соответствии с Требованиями к оформлению и составлению сметной документации (Приложение № 2 к ТЗ)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</w:r>
          </w:p>
        </w:tc>
        <w:tc>
          <w:tcPr>
            <w:tcW w:w="1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uppressAutoHyphens w:val="true"/>
              <w:spacing w:lineRule="auto" w:line="240" w:before="60" w:after="0"/>
              <w:ind w:left="36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uppressAutoHyphens w:val="true"/>
              <w:spacing w:lineRule="auto" w:line="240"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Порядок приемки результатов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условиями договора подряда по каждому объекту строительства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uppressAutoHyphens w:val="true"/>
              <w:spacing w:lineRule="auto" w:line="240" w:before="6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</w:r>
          </w:p>
        </w:tc>
        <w:tc>
          <w:tcPr>
            <w:tcW w:w="1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Акт сдачи-приемки выполненных работ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Акты сдачи-приемки выполненных работ оформляются по форме в соответствии с условиями договора подряда по каждому объекту строительства.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Формат при передаче документации в электронном виде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x-none" w:eastAsia="ru-RU" w:bidi="ar-SA"/>
              </w:rPr>
              <w:t>Количество передаваемой документации – 3 экземпляра на бумажном носителе, два экземпляра в электронном виде на компакт-диске (на CD или DVD).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передает документацию в электронном виде в форматах, предусмотренных договором.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Использование форматов при передаче документации в электронном виде: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20" w:right="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tbl>
            <w:tblPr>
              <w:tblW w:w="9973" w:type="dxa"/>
              <w:jc w:val="left"/>
              <w:tblInd w:w="124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90"/>
              <w:gridCol w:w="4617"/>
              <w:gridCol w:w="2166"/>
            </w:tblGrid>
            <w:tr>
              <w:trPr>
                <w:trHeight w:val="522" w:hRule="atLeast"/>
              </w:trPr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</w:rPr>
                    <w:t>Вид документа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</w:rPr>
                    <w:t>Используемое приложение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</w:rPr>
                    <w:t>Формат</w:t>
                  </w:r>
                </w:p>
              </w:tc>
            </w:tr>
            <w:tr>
              <w:trPr/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Текстовая часть, описания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MS Word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.doc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>
              <w:trPr/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Таблицы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MS Excel 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.xls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>
              <w:trPr/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Базы данных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MS Excel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.xls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>
              <w:trPr/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Планы, графики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MS Project 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MS Excel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.mpp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.xls</w:t>
                  </w:r>
                </w:p>
              </w:tc>
            </w:tr>
            <w:tr>
              <w:trPr/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Чертежи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AutoCAD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   и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.dwg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>
              <w:trPr/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Графический материал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MS Photo Editor   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и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Adobe Acrobat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.jpg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.pdf</w:t>
                  </w:r>
                </w:p>
              </w:tc>
            </w:tr>
            <w:tr>
              <w:trPr/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Электронный архив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WinRar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.rar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*</w:t>
                  </w:r>
                </w:p>
              </w:tc>
            </w:tr>
            <w:tr>
              <w:trPr/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Сметная документация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MS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Excel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и в формате программы «ГРАНД СМЕТА», позволяющем вести накопительные ведомости по локальным сметам.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xls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gsf</w:t>
                  </w:r>
                </w:p>
              </w:tc>
            </w:tr>
            <w:tr>
              <w:trPr/>
              <w:tc>
                <w:tcPr>
                  <w:tcW w:w="3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Прайс-листы на материалы и оборудование</w:t>
                  </w:r>
                </w:p>
              </w:tc>
              <w:tc>
                <w:tcPr>
                  <w:tcW w:w="4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Adobe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Acrobat</w:t>
                  </w:r>
                </w:p>
              </w:tc>
              <w:tc>
                <w:tcPr>
                  <w:tcW w:w="2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pdf</w:t>
                  </w:r>
                </w:p>
              </w:tc>
            </w:tr>
          </w:tbl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* - материалы каждого тома проекта компоновать в одном файле;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* - не допускается передача документации в формате Portable Document Format (PDF) с пофайловым разделением страниц.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В рабочей документации должны использоваться диспетчерские наименования объектов электроэнергетики, ЛЭП и оборудования.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Одновременно с первичным направлением на рассмотрение и согласование томов проектной и рабочей документации в Тихоокеанское РДУ направляется утвержденное ТЗ (и при наличии, дополнения и/или изменения к ТЗ), перечень томов проектной и рабочей документации, подготавливаемых в рамках настоящего инвестиционного проекта (далее – Перечень томов). При актуализации Перечня томов в Тихоокеанское РДУ направляется актуальный Перечень томов.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bidi="ar-SA"/>
              </w:rPr>
              <w:t>При направлении откорректированных материалов рабочей документации разработчиком должны быть предоставлена таблица устранения выданных замечаний/таблица разногласий по выданным замечаниям с ответами на замечания с указанием разделов и страниц документации, в которые были внесены изменения. Кроме того, указанные изменения должны быть выделены цветом по тексту документов.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2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Требования к Участнику.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408"/>
                <w:tab w:val="left" w:pos="142" w:leader="none"/>
                <w:tab w:val="left" w:pos="851" w:leader="none"/>
              </w:tabs>
              <w:suppressAutoHyphens w:val="true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Требования к участнику закупки представлены в Документации о закупке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2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выполнению сметных расчетов.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8640" w:leader="none"/>
              </w:tabs>
              <w:suppressAutoHyphens w:val="true"/>
              <w:spacing w:lineRule="auto" w:line="240" w:before="20"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tabs>
                <w:tab w:val="clear" w:pos="408"/>
                <w:tab w:val="left" w:pos="567" w:leader="none"/>
                <w:tab w:val="left" w:pos="851" w:leader="none"/>
                <w:tab w:val="left" w:pos="993" w:leader="none"/>
              </w:tabs>
              <w:suppressAutoHyphens w:val="true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Согласно приложения № 2 к настоящим ТТ.</w:t>
            </w:r>
          </w:p>
          <w:p>
            <w:pPr>
              <w:pStyle w:val="Normal"/>
              <w:widowControl w:val="false"/>
              <w:shd w:val="clear" w:fill="FFFFFF"/>
              <w:tabs>
                <w:tab w:val="clear" w:pos="408"/>
                <w:tab w:val="left" w:pos="567" w:leader="none"/>
                <w:tab w:val="left" w:pos="851" w:leader="none"/>
                <w:tab w:val="left" w:pos="993" w:leader="none"/>
              </w:tabs>
              <w:suppressAutoHyphens w:val="true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После рассмотрения и согласования ДРСК всех этапов проектно-сметной документации предоставить 3 экземпляра на бумажном носителе и 1 экземпляр в электронном виде (на CD) в филиал АО «ДРСК» «ХЭС».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2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Общие требования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751" w:leader="none"/>
                <w:tab w:val="left" w:pos="851" w:leader="none"/>
              </w:tabs>
              <w:suppressAutoHyphens w:val="true"/>
              <w:spacing w:before="0" w:after="0"/>
              <w:ind w:left="360" w:right="0" w:hanging="0"/>
              <w:contextualSpacing w:val="false"/>
              <w:jc w:val="both"/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</w:pPr>
            <w:r>
              <w:rPr>
                <w:vanish/>
                <w:sz w:val="24"/>
                <w:szCs w:val="24"/>
                <w:lang w:eastAsia="ru-RU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751" w:leader="none"/>
                <w:tab w:val="left" w:pos="851" w:leader="none"/>
              </w:tabs>
              <w:suppressAutoHyphens w:val="true"/>
              <w:spacing w:before="0" w:after="0"/>
              <w:ind w:left="360" w:right="0" w:hanging="0"/>
              <w:contextualSpacing w:val="false"/>
              <w:jc w:val="both"/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</w:pPr>
            <w:r>
              <w:rPr>
                <w:vanish/>
                <w:sz w:val="24"/>
                <w:szCs w:val="24"/>
                <w:lang w:eastAsia="ru-RU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751" w:leader="none"/>
                <w:tab w:val="left" w:pos="851" w:leader="none"/>
              </w:tabs>
              <w:suppressAutoHyphens w:val="true"/>
              <w:spacing w:before="0" w:after="0"/>
              <w:ind w:left="360" w:right="0" w:hanging="0"/>
              <w:contextualSpacing w:val="false"/>
              <w:jc w:val="both"/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</w:pPr>
            <w:r>
              <w:rPr>
                <w:vanish/>
                <w:sz w:val="24"/>
                <w:szCs w:val="24"/>
                <w:lang w:eastAsia="ru-RU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751" w:leader="none"/>
                <w:tab w:val="left" w:pos="851" w:leader="none"/>
              </w:tabs>
              <w:suppressAutoHyphens w:val="true"/>
              <w:spacing w:before="0" w:after="0"/>
              <w:ind w:left="360" w:right="0" w:hanging="0"/>
              <w:contextualSpacing w:val="false"/>
              <w:jc w:val="both"/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</w:pPr>
            <w:r>
              <w:rPr>
                <w:vanish/>
                <w:sz w:val="24"/>
                <w:szCs w:val="24"/>
                <w:lang w:eastAsia="ru-RU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751" w:leader="none"/>
                <w:tab w:val="left" w:pos="851" w:leader="none"/>
              </w:tabs>
              <w:suppressAutoHyphens w:val="true"/>
              <w:spacing w:before="0" w:after="0"/>
              <w:ind w:left="360" w:right="0" w:hanging="0"/>
              <w:contextualSpacing w:val="false"/>
              <w:jc w:val="both"/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</w:pPr>
            <w:r>
              <w:rPr>
                <w:vanish/>
                <w:sz w:val="24"/>
                <w:szCs w:val="24"/>
                <w:lang w:eastAsia="ru-RU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751" w:leader="none"/>
                <w:tab w:val="left" w:pos="851" w:leader="none"/>
              </w:tabs>
              <w:suppressAutoHyphens w:val="true"/>
              <w:spacing w:before="0" w:after="0"/>
              <w:ind w:left="360" w:right="0" w:hanging="0"/>
              <w:contextualSpacing w:val="false"/>
              <w:jc w:val="both"/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</w:pPr>
            <w:r>
              <w:rPr>
                <w:vanish/>
                <w:sz w:val="24"/>
                <w:szCs w:val="24"/>
                <w:lang w:eastAsia="ru-RU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751" w:leader="none"/>
                <w:tab w:val="left" w:pos="851" w:leader="none"/>
              </w:tabs>
              <w:suppressAutoHyphens w:val="true"/>
              <w:spacing w:before="0" w:after="0"/>
              <w:ind w:left="360" w:right="0" w:hanging="0"/>
              <w:contextualSpacing w:val="false"/>
              <w:jc w:val="both"/>
              <w:rPr>
                <w:rFonts w:ascii="Times New Roman" w:hAnsi="Times New Roman"/>
                <w:vanish/>
                <w:sz w:val="24"/>
                <w:szCs w:val="24"/>
                <w:lang w:eastAsia="ru-RU"/>
              </w:rPr>
            </w:pPr>
            <w:r>
              <w:rPr>
                <w:vanish/>
                <w:sz w:val="24"/>
                <w:szCs w:val="24"/>
                <w:lang w:eastAsia="ru-RU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385" w:leader="none"/>
                <w:tab w:val="left" w:pos="751" w:leader="none"/>
                <w:tab w:val="left" w:pos="851" w:leader="none"/>
              </w:tabs>
              <w:suppressAutoHyphens w:val="true"/>
              <w:spacing w:before="0" w:after="0"/>
              <w:ind w:left="0" w:right="0" w:hanging="0"/>
              <w:contextualSpacing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ru-RU" w:bidi="ar-SA"/>
              </w:rPr>
              <w:t>При выполнении рабочей документации необходимо предоставить Заказчику – 1 экземпляр в электронном виде (на CD) в филиал АО «ДРСК» «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ХЭС</w:t>
            </w:r>
            <w:r>
              <w:rPr>
                <w:kern w:val="0"/>
                <w:sz w:val="24"/>
                <w:szCs w:val="24"/>
                <w:lang w:eastAsia="ru-RU" w:bidi="ar-SA"/>
              </w:rPr>
              <w:t>» и 1 экземпляр в электронном виде (на CD) в Исполнительный аппарат АО «ДРСК» г. Благовещенск, для рассмотрения и согласования с профильными структурными подразделениями АО «ДРСК».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851" w:leader="none"/>
                <w:tab w:val="left" w:pos="1276" w:leader="none"/>
              </w:tabs>
              <w:suppressAutoHyphens w:val="true"/>
              <w:spacing w:before="0" w:after="0"/>
              <w:ind w:left="0" w:right="0" w:hanging="0"/>
              <w:contextualSpacing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ru-RU" w:bidi="ar-SA"/>
              </w:rPr>
              <w:t>После рассмотрения и согласования АО «ДРСК», предоставить 3 экземпляра на бумажном носителе и 1 экземпляр в электронном виде (на CD) в филиал АО «ДРСК» «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ХЭС</w:t>
            </w:r>
            <w:r>
              <w:rPr>
                <w:kern w:val="0"/>
                <w:sz w:val="24"/>
                <w:szCs w:val="24"/>
                <w:lang w:eastAsia="ru-RU" w:bidi="ar-SA"/>
              </w:rPr>
              <w:t>» г.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Хабаровск</w:t>
            </w:r>
            <w:r>
              <w:rPr>
                <w:kern w:val="0"/>
                <w:sz w:val="24"/>
                <w:szCs w:val="24"/>
                <w:lang w:eastAsia="ru-RU" w:bidi="ar-SA"/>
              </w:rPr>
              <w:t>, 1 экземпляр в электронном виде (на CD) в Исполнительный аппарат АО «ДРСК» г. Благовещенск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851" w:leader="none"/>
                <w:tab w:val="left" w:pos="1276" w:leader="none"/>
              </w:tabs>
              <w:suppressAutoHyphens w:val="true"/>
              <w:spacing w:before="0" w:after="0"/>
              <w:ind w:left="0" w:right="0" w:hanging="0"/>
              <w:contextualSpacing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ru-RU" w:bidi="ar-SA"/>
              </w:rPr>
              <w:t>Разработанная рабочая документация является собственностью Заказчика, и передача её третьим лицам без его согласия запрещается.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408"/>
                <w:tab w:val="left" w:pos="851" w:leader="none"/>
                <w:tab w:val="left" w:pos="1276" w:leader="none"/>
              </w:tabs>
              <w:suppressAutoHyphens w:val="true"/>
              <w:spacing w:before="0" w:after="0"/>
              <w:ind w:left="0" w:right="0" w:hanging="0"/>
              <w:contextualSpacing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eastAsia="ru-RU" w:bidi="ar-SA"/>
              </w:rPr>
              <w:t xml:space="preserve">Проектная организация осуществляет от лица Заказчика получение по проекту всех необходимых согласований и заключений.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20" w:right="0" w:firstLine="74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ind w:left="0" w:right="0" w:firstLine="283"/>
              <w:contextualSpacing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2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условиями договора подряда.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16"/>
          <w:headerReference w:type="first" r:id="rId17"/>
          <w:type w:val="nextPage"/>
          <w:pgSz w:orient="landscape" w:w="16838" w:h="11906"/>
          <w:pgMar w:left="1276" w:right="709" w:gutter="0" w:header="709" w:top="1276" w:footer="0" w:bottom="709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tabs>
          <w:tab w:val="clear" w:pos="408"/>
          <w:tab w:val="left" w:pos="993" w:leader="none"/>
          <w:tab w:val="left" w:pos="3196" w:leader="none"/>
        </w:tabs>
        <w:spacing w:before="0" w:after="60"/>
        <w:ind w:left="567" w:right="0" w:hanging="0"/>
        <w:contextualSpacing/>
        <w:jc w:val="both"/>
        <w:rPr>
          <w:rFonts w:ascii="Times New Roman" w:hAnsi="Times New Roman"/>
          <w:color w:val="0070C0"/>
          <w:sz w:val="24"/>
          <w:szCs w:val="24"/>
        </w:rPr>
      </w:pPr>
      <w:r>
        <w:rPr>
          <w:color w:val="0070C0"/>
          <w:sz w:val="24"/>
          <w:szCs w:val="24"/>
        </w:rPr>
      </w:r>
    </w:p>
    <w:p>
      <w:pPr>
        <w:pStyle w:val="Heading1"/>
        <w:numPr>
          <w:ilvl w:val="0"/>
          <w:numId w:val="1"/>
        </w:numPr>
        <w:ind w:left="360" w:right="0" w:hanging="360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</w:t>
      </w:r>
    </w:p>
    <w:p>
      <w:pPr>
        <w:pStyle w:val="Normal"/>
        <w:tabs>
          <w:tab w:val="clear" w:pos="408"/>
          <w:tab w:val="left" w:pos="993" w:leader="none"/>
        </w:tabs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3.1. </w:t>
      </w:r>
      <w:r>
        <w:rPr>
          <w:rFonts w:eastAsia="Calibri"/>
          <w:iCs/>
          <w:sz w:val="24"/>
          <w:szCs w:val="24"/>
          <w:lang w:val="x-none" w:eastAsia="x-none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tabs>
          <w:tab w:val="clear" w:pos="408"/>
          <w:tab w:val="left" w:pos="993" w:leader="none"/>
        </w:tabs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/>
          <w:iCs/>
          <w:sz w:val="24"/>
          <w:szCs w:val="24"/>
          <w:lang w:val="x-none" w:eastAsia="x-none"/>
        </w:rPr>
        <w:t>3.2.</w:t>
        <w:tab/>
        <w:t xml:space="preserve"> Дополнительные документы по ценообразованию (сметная документация) в состав заявки Участника не включаются».</w:t>
      </w:r>
    </w:p>
    <w:p>
      <w:pPr>
        <w:pStyle w:val="Heading1"/>
        <w:numPr>
          <w:ilvl w:val="0"/>
          <w:numId w:val="1"/>
        </w:numPr>
        <w:ind w:left="360" w:right="0" w:hanging="360"/>
        <w:rPr>
          <w:rFonts w:ascii="Times New Roman" w:hAnsi="Times New Roman"/>
          <w:sz w:val="24"/>
          <w:szCs w:val="24"/>
        </w:rPr>
      </w:pPr>
      <w:bookmarkStart w:id="11" w:name="_Toc54646412"/>
      <w:bookmarkEnd w:id="11"/>
      <w:r>
        <w:rPr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</w:p>
    <w:p>
      <w:pPr>
        <w:pStyle w:val="Normal"/>
        <w:tabs>
          <w:tab w:val="clear" w:pos="408"/>
          <w:tab w:val="left" w:pos="993" w:leader="none"/>
        </w:tabs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eastAsia="x-none"/>
        </w:rPr>
        <w:t>4.1.</w:t>
      </w:r>
      <w:r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val="x-none" w:eastAsia="x-none"/>
        </w:rPr>
        <w:t>Сметная документация составл</w:t>
      </w:r>
      <w:r>
        <w:rPr>
          <w:sz w:val="24"/>
          <w:szCs w:val="24"/>
          <w:lang w:eastAsia="x-none"/>
        </w:rPr>
        <w:t>яется Подрядчиком</w:t>
      </w:r>
      <w:r>
        <w:rPr>
          <w:sz w:val="24"/>
          <w:szCs w:val="24"/>
          <w:lang w:val="x-none" w:eastAsia="x-none"/>
        </w:rPr>
        <w:t xml:space="preserve"> в рамках </w:t>
      </w:r>
      <w:r>
        <w:rPr>
          <w:sz w:val="24"/>
          <w:szCs w:val="24"/>
          <w:lang w:eastAsia="x-none"/>
        </w:rPr>
        <w:t>исполнения договора в соответствии с требованиями, указанными в приложении №2 к настоящим Техническим требованиям,</w:t>
      </w:r>
      <w:r>
        <w:rPr>
          <w:sz w:val="24"/>
          <w:szCs w:val="24"/>
          <w:lang w:val="x-none" w:eastAsia="x-none"/>
        </w:rPr>
        <w:t xml:space="preserve"> и включается в состав договора с применением понижающего коэффициента</w:t>
      </w:r>
      <w:r>
        <w:rPr>
          <w:sz w:val="24"/>
          <w:szCs w:val="24"/>
          <w:lang w:eastAsia="x-none"/>
        </w:rPr>
        <w:t>.</w:t>
      </w:r>
      <w:r>
        <w:rPr>
          <w:sz w:val="24"/>
          <w:szCs w:val="24"/>
          <w:lang w:val="x-none" w:eastAsia="x-none"/>
        </w:rPr>
        <w:t xml:space="preserve"> </w:t>
      </w:r>
    </w:p>
    <w:p>
      <w:pPr>
        <w:pStyle w:val="ListParagraph"/>
        <w:tabs>
          <w:tab w:val="clear" w:pos="408"/>
          <w:tab w:val="left" w:pos="993" w:leader="none"/>
          <w:tab w:val="left" w:pos="2127" w:leader="none"/>
        </w:tabs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/>
          <w:sz w:val="24"/>
          <w:szCs w:val="24"/>
          <w:lang w:eastAsia="x-none"/>
        </w:rPr>
        <w:t>Размер понижающего коэффициента</w:t>
      </w:r>
      <w:r>
        <w:rPr>
          <w:rFonts w:eastAsia="Times New Roman"/>
          <w:sz w:val="24"/>
          <w:szCs w:val="24"/>
          <w:lang w:val="x-none" w:eastAsia="x-none"/>
        </w:rPr>
        <w:t xml:space="preserve"> определяется по формуле:</w:t>
      </w:r>
    </w:p>
    <w:p>
      <w:pPr>
        <w:pStyle w:val="ListParagraph"/>
        <w:tabs>
          <w:tab w:val="clear" w:pos="408"/>
          <w:tab w:val="left" w:pos="993" w:leader="none"/>
        </w:tabs>
        <w:ind w:left="0" w:right="0" w:firstLine="567"/>
        <w:jc w:val="center"/>
        <w:rPr>
          <w:rFonts w:ascii="Times New Roman" w:hAnsi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k</m:t>
          </m:r>
          <m:r>
            <w:rPr>
              <w:rFonts w:ascii="Cambria Math" w:hAnsi="Cambria Math"/>
            </w:rPr>
            <m:t xml:space="preserve">=</m:t>
          </m:r>
          <m:f>
            <m:num>
              <m:r>
                <w:rPr>
                  <w:rFonts w:ascii="Cambria Math" w:hAnsi="Cambria Math"/>
                </w:rPr>
                <m:t xml:space="preserve">P</m:t>
              </m:r>
            </m:num>
            <m:den>
              <m:r>
                <w:rPr>
                  <w:rFonts w:ascii="Cambria Math" w:hAnsi="Cambria Math"/>
                </w:rPr>
                <m:t xml:space="preserve">N</m:t>
              </m:r>
            </m:den>
          </m:f>
        </m:oMath>
      </m:oMathPara>
    </w:p>
    <w:p>
      <w:pPr>
        <w:pStyle w:val="ListParagraph"/>
        <w:tabs>
          <w:tab w:val="clear" w:pos="408"/>
          <w:tab w:val="left" w:pos="993" w:leader="none"/>
        </w:tabs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где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P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–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стоимость предложения Победителя;</w:t>
      </w:r>
    </w:p>
    <w:p>
      <w:pPr>
        <w:pStyle w:val="ListParagraph"/>
        <w:tabs>
          <w:tab w:val="clear" w:pos="408"/>
          <w:tab w:val="left" w:pos="993" w:leader="none"/>
        </w:tabs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N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– начальная (максимальная) цена договора (цена лота), определенная в соответствии с Обоснованием НМЦ Заказчика, представленной в составе Документации о закупке;</w:t>
      </w:r>
    </w:p>
    <w:p>
      <w:pPr>
        <w:pStyle w:val="ListParagraph"/>
        <w:tabs>
          <w:tab w:val="clear" w:pos="408"/>
          <w:tab w:val="left" w:pos="993" w:leader="none"/>
        </w:tabs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k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– 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>
      <w:pPr>
        <w:pStyle w:val="ListParagraph"/>
        <w:tabs>
          <w:tab w:val="clear" w:pos="408"/>
          <w:tab w:val="left" w:pos="993" w:leader="none"/>
        </w:tabs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4.2.</w:t>
        <w:tab/>
        <w:t>Понижающие коэффициенты, рассчитанные в соответствии с п. 4.1, 4.3 начисляются в каждой локальной смете к итогу.</w:t>
      </w:r>
    </w:p>
    <w:p>
      <w:pPr>
        <w:pStyle w:val="ListParagraph"/>
        <w:tabs>
          <w:tab w:val="clear" w:pos="408"/>
          <w:tab w:val="left" w:pos="993" w:leader="none"/>
        </w:tabs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4.3.</w:t>
        <w:tab/>
        <w:t>В случае если стоимость по разработанной смете Подрядчика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Normal"/>
        <w:spacing w:before="60" w:after="60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新細明體"/>
          <w:bCs/>
          <w:color w:val="000000"/>
          <w:sz w:val="24"/>
          <w:szCs w:val="24"/>
        </w:rPr>
        <w:t>4.4.</w:t>
        <w:tab/>
        <w:t>В случае если стоимость по разработанной смете Подрядчика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</w:p>
    <w:p>
      <w:pPr>
        <w:pStyle w:val="Normal"/>
        <w:spacing w:before="60" w:after="60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新細明體"/>
          <w:bCs/>
          <w:color w:val="000000"/>
          <w:sz w:val="24"/>
          <w:szCs w:val="24"/>
        </w:rPr>
        <w:t>4.5. Резерв средств на непредвиденные расходы предусматривать в размере 1,5 %.</w:t>
      </w:r>
    </w:p>
    <w:p>
      <w:pPr>
        <w:pStyle w:val="Normal"/>
        <w:spacing w:before="60" w:after="60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bCs/>
          <w:iCs/>
          <w:sz w:val="24"/>
          <w:szCs w:val="24"/>
          <w:lang w:eastAsia="x-none"/>
        </w:rPr>
        <w:t xml:space="preserve">4.6.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</w:t>
      </w:r>
      <w:bookmarkStart w:id="12" w:name="_GoBack"/>
      <w:bookmarkEnd w:id="12"/>
      <w:r>
        <w:rPr>
          <w:bCs/>
          <w:iCs/>
          <w:sz w:val="24"/>
          <w:szCs w:val="24"/>
          <w:lang w:eastAsia="x-none"/>
        </w:rPr>
        <w:t>2 к настоящим Техническим требованиям, с применением понижающего коэффициента, определенного по результатам конкурентной процедуры (п. 4.1). 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ListParagraph"/>
        <w:ind w:left="643" w:right="0" w:hanging="0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</w:p>
    <w:p>
      <w:pPr>
        <w:pStyle w:val="ListParagraph"/>
        <w:ind w:left="643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>5. Приложения</w:t>
      </w:r>
    </w:p>
    <w:p>
      <w:pPr>
        <w:pStyle w:val="ListParagraph"/>
        <w:ind w:left="643" w:right="0" w:hanging="0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</w:p>
    <w:p>
      <w:pPr>
        <w:pStyle w:val="Standard"/>
        <w:numPr>
          <w:ilvl w:val="0"/>
          <w:numId w:val="3"/>
        </w:numPr>
        <w:ind w:left="0" w:right="0" w:hanging="0"/>
        <w:jc w:val="left"/>
        <w:rPr>
          <w:rFonts w:ascii="Times New Roman" w:hAnsi="Times New Roman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Основные нормативно-технические документы (НТД), определяющие требования к проектной документации;</w:t>
      </w:r>
    </w:p>
    <w:p>
      <w:pPr>
        <w:pStyle w:val="Standard"/>
        <w:widowControl w:val="false"/>
        <w:numPr>
          <w:ilvl w:val="0"/>
          <w:numId w:val="3"/>
        </w:numPr>
        <w:shd w:val="clear" w:fill="FFFFFF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i/>
          <w:color w:val="000000"/>
          <w:sz w:val="24"/>
          <w:szCs w:val="24"/>
        </w:rPr>
        <w:t>Требования к оформлению и составлению документации по ценообразованию;</w:t>
      </w:r>
    </w:p>
    <w:p>
      <w:pPr>
        <w:pStyle w:val="Standard"/>
        <w:widowControl w:val="false"/>
        <w:numPr>
          <w:ilvl w:val="0"/>
          <w:numId w:val="3"/>
        </w:numPr>
        <w:shd w:val="clear" w:fill="FFFFFF"/>
        <w:ind w:left="0" w:right="0" w:hanging="0"/>
        <w:rPr>
          <w:rFonts w:ascii="Times New Roman" w:hAnsi="Times New Roman"/>
          <w:sz w:val="24"/>
          <w:szCs w:val="24"/>
        </w:rPr>
      </w:pPr>
      <w:r>
        <w:rPr>
          <w:i/>
          <w:color w:val="000000"/>
          <w:sz w:val="24"/>
          <w:szCs w:val="24"/>
        </w:rPr>
        <w:t>Техническое задание на проектно-изыскательские работы по объекту.</w:t>
      </w:r>
    </w:p>
    <w:p>
      <w:pPr>
        <w:pStyle w:val="Standard"/>
        <w:shd w:val="clear" w:fill="FFFFFF"/>
        <w:ind w:left="0" w:right="0" w:hanging="0"/>
        <w:rPr>
          <w:rFonts w:ascii="Times New Roman" w:hAnsi="Times New Roman"/>
          <w:sz w:val="24"/>
          <w:szCs w:val="24"/>
        </w:rPr>
      </w:pPr>
      <w:r>
        <w:rPr/>
      </w:r>
    </w:p>
    <w:sectPr>
      <w:headerReference w:type="default" r:id="rId18"/>
      <w:headerReference w:type="first" r:id="rId19"/>
      <w:type w:val="nextPage"/>
      <w:pgSz w:w="11906" w:h="16838"/>
      <w:pgMar w:left="1276" w:right="709" w:gutter="0" w:header="709" w:top="851" w:footer="0" w:bottom="709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Helvetica Neue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21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22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i w:val="false"/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00000A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2">
    <w:lvl w:ilvl="0">
      <w:start w:val="1"/>
      <w:numFmt w:val="decimal"/>
      <w:suff w:val="space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2"/>
      <w:numFmt w:val="decimal"/>
      <w:suff w:val="space"/>
      <w:lvlText w:val="%1."/>
      <w:lvlJc w:val="left"/>
      <w:pPr>
        <w:tabs>
          <w:tab w:val="num" w:pos="0"/>
        </w:tabs>
        <w:ind w:left="928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792" w:hanging="504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2296" w:hanging="648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800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30"/>
  <w:defaultTabStop w:val="4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  <w:numId w:val="0"/>
      </w:numPr>
      <w:ind w:left="5038" w:right="0" w:hanging="0"/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numPr>
        <w:ilvl w:val="0"/>
        <w:numId w:val="0"/>
      </w:numPr>
      <w:ind w:left="858" w:right="0" w:hanging="432"/>
      <w:outlineLvl w:val="1"/>
    </w:pPr>
    <w:rPr/>
  </w:style>
  <w:style w:type="paragraph" w:styleId="Heading3">
    <w:name w:val="Heading 3"/>
    <w:basedOn w:val="Normal"/>
    <w:autoRedefine/>
    <w:qFormat/>
    <w:pPr>
      <w:keepNext w:val="true"/>
      <w:widowControl/>
      <w:numPr>
        <w:ilvl w:val="0"/>
        <w:numId w:val="0"/>
      </w:numPr>
      <w:suppressAutoHyphens w:val="true"/>
      <w:bidi w:val="0"/>
      <w:spacing w:before="0" w:after="60"/>
      <w:ind w:left="0" w:right="0" w:hanging="0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Heading4">
    <w:name w:val="Heading 4"/>
    <w:basedOn w:val="Heading3"/>
    <w:qFormat/>
    <w:pPr>
      <w:numPr>
        <w:ilvl w:val="0"/>
        <w:numId w:val="0"/>
      </w:numPr>
      <w:tabs>
        <w:tab w:val="clear" w:pos="408"/>
        <w:tab w:val="left" w:pos="0" w:leader="none"/>
      </w:tabs>
      <w:ind w:left="858" w:right="0" w:hanging="432"/>
      <w:outlineLvl w:val="3"/>
    </w:pPr>
    <w:rPr>
      <w:bCs/>
    </w:rPr>
  </w:style>
  <w:style w:type="paragraph" w:styleId="Heading5">
    <w:name w:val="Heading 5"/>
    <w:basedOn w:val="Normal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qFormat/>
    <w:pPr>
      <w:numPr>
        <w:ilvl w:val="0"/>
        <w:numId w:val="0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>
    <w:name w:val="Default Paragraph Font"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>
    <w:name w:val="Заголовок 1 Знак"/>
    <w:qFormat/>
    <w:rPr>
      <w:rFonts w:eastAsia="Calibri"/>
      <w:sz w:val="28"/>
      <w:szCs w:val="28"/>
      <w:lang w:eastAsia="x-none"/>
    </w:rPr>
  </w:style>
  <w:style w:type="character" w:styleId="2">
    <w:name w:val="Заголовок 2 Знак"/>
    <w:qFormat/>
    <w:rPr>
      <w:rFonts w:eastAsia="Calibri"/>
      <w:bCs/>
      <w:sz w:val="24"/>
      <w:szCs w:val="24"/>
      <w:lang w:eastAsia="x-none"/>
    </w:rPr>
  </w:style>
  <w:style w:type="character" w:styleId="3">
    <w:name w:val="Заголовок 3 Знак"/>
    <w:qFormat/>
    <w:rPr>
      <w:rFonts w:eastAsia="Calibri"/>
      <w:sz w:val="24"/>
      <w:szCs w:val="24"/>
      <w:lang w:eastAsia="x-none"/>
    </w:rPr>
  </w:style>
  <w:style w:type="character" w:styleId="4">
    <w:name w:val="Заголовок 4 Знак"/>
    <w:qFormat/>
    <w:rPr>
      <w:rFonts w:eastAsia="Calibri"/>
      <w:bCs/>
      <w:sz w:val="24"/>
      <w:szCs w:val="24"/>
      <w:lang w:eastAsia="x-none"/>
    </w:rPr>
  </w:style>
  <w:style w:type="character" w:styleId="5">
    <w:name w:val="Заголовок 5 Знак"/>
    <w:qFormat/>
    <w:rPr>
      <w:b/>
      <w:bCs/>
      <w:i/>
      <w:iCs/>
      <w:sz w:val="26"/>
      <w:szCs w:val="26"/>
    </w:rPr>
  </w:style>
  <w:style w:type="character" w:styleId="9">
    <w:name w:val="Заголовок 9 Знак"/>
    <w:qFormat/>
    <w:rPr>
      <w:rFonts w:ascii="Arial" w:hAnsi="Arial" w:cs="Arial"/>
      <w:sz w:val="22"/>
      <w:szCs w:val="22"/>
    </w:rPr>
  </w:style>
  <w:style w:type="character" w:styleId="Style1">
    <w:name w:val="Название Знак"/>
    <w:qFormat/>
    <w:rPr>
      <w:sz w:val="28"/>
    </w:rPr>
  </w:style>
  <w:style w:type="character" w:styleId="Style2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>
    <w:name w:val="Цитата 2 Знак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>
    <w:name w:val="Выделенная цитата Знак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>
    <w:name w:val="Электронная подпись Знак"/>
    <w:qFormat/>
    <w:rPr>
      <w:rFonts w:eastAsia="Calibri"/>
      <w:sz w:val="24"/>
      <w:szCs w:val="24"/>
    </w:rPr>
  </w:style>
  <w:style w:type="character" w:styleId="11">
    <w:name w:val="Подпункт Знак1"/>
    <w:qFormat/>
    <w:rPr>
      <w:sz w:val="28"/>
    </w:rPr>
  </w:style>
  <w:style w:type="character" w:styleId="Style5">
    <w:name w:val="Текст сноски Знак"/>
    <w:qFormat/>
    <w:rPr/>
  </w:style>
  <w:style w:type="character" w:styleId="Style6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7">
    <w:name w:val="Абзац списка Знак"/>
    <w:qFormat/>
    <w:rPr>
      <w:rFonts w:eastAsia="Calibri"/>
      <w:sz w:val="24"/>
      <w:szCs w:val="24"/>
    </w:rPr>
  </w:style>
  <w:style w:type="character" w:styleId="Style8">
    <w:name w:val="комментарий"/>
    <w:qFormat/>
    <w:rPr>
      <w:i/>
    </w:rPr>
  </w:style>
  <w:style w:type="character" w:styleId="Style9">
    <w:name w:val="Подподпункт Знак"/>
    <w:qFormat/>
    <w:rPr>
      <w:sz w:val="26"/>
      <w:szCs w:val="26"/>
    </w:rPr>
  </w:style>
  <w:style w:type="character" w:styleId="3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Текст примечания Знак"/>
    <w:qFormat/>
    <w:rPr/>
  </w:style>
  <w:style w:type="character" w:styleId="Style12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>
    <w:name w:val="Пункт2 Знак"/>
    <w:qFormat/>
    <w:rPr>
      <w:b/>
      <w:sz w:val="28"/>
    </w:rPr>
  </w:style>
  <w:style w:type="character" w:styleId="12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>
    <w:name w:val="Неразрешенное упоминание1"/>
    <w:basedOn w:val="DefaultParagraphFont"/>
    <w:qFormat/>
    <w:rPr>
      <w:color w:val="605E5C"/>
    </w:rPr>
  </w:style>
  <w:style w:type="character" w:styleId="32">
    <w:name w:val="Основной текст с отступом 3 Знак"/>
    <w:qFormat/>
    <w:rPr>
      <w:sz w:val="16"/>
      <w:szCs w:val="16"/>
    </w:rPr>
  </w:style>
  <w:style w:type="character" w:styleId="Hl">
    <w:name w:val="hl"/>
    <w:basedOn w:val="DefaultParagraphFont"/>
    <w:qFormat/>
    <w:rPr/>
  </w:style>
  <w:style w:type="character" w:styleId="Style14">
    <w:name w:val="Текст выноски Знак"/>
    <w:qFormat/>
    <w:rPr>
      <w:rFonts w:ascii="Tahoma" w:hAnsi="Tahoma" w:cs="Tahoma"/>
      <w:sz w:val="16"/>
      <w:szCs w:val="16"/>
    </w:rPr>
  </w:style>
  <w:style w:type="character" w:styleId="Apple-style-span">
    <w:name w:val="apple-style-span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>
      <w:sz w:val="28"/>
      <w:szCs w:val="28"/>
    </w:rPr>
  </w:style>
  <w:style w:type="character" w:styleId="Linenumber">
    <w:name w:val="line number"/>
    <w:basedOn w:val="DefaultParagraphFont"/>
    <w:qFormat/>
    <w:rPr/>
  </w:style>
  <w:style w:type="character" w:styleId="Style16">
    <w:name w:val="Схема документа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ма примечания Знак"/>
    <w:qFormat/>
    <w:rPr>
      <w:b/>
      <w:bCs/>
    </w:rPr>
  </w:style>
  <w:style w:type="character" w:styleId="Style18">
    <w:name w:val="Основной текст с отступом Знак"/>
    <w:qFormat/>
    <w:rPr>
      <w:sz w:val="24"/>
      <w:szCs w:val="24"/>
    </w:rPr>
  </w:style>
  <w:style w:type="character" w:styleId="111">
    <w:name w:val="УРОВЕНЬ_1.1.1. Знак"/>
    <w:qFormat/>
    <w:rPr>
      <w:rFonts w:eastAsia="Calibri"/>
      <w:sz w:val="26"/>
      <w:szCs w:val="28"/>
      <w:lang w:eastAsia="en-US"/>
    </w:rPr>
  </w:style>
  <w:style w:type="character" w:styleId="33">
    <w:name w:val="Список мн 3 Знак"/>
    <w:qFormat/>
    <w:rPr>
      <w:spacing w:val="-4"/>
      <w:sz w:val="24"/>
      <w:szCs w:val="24"/>
      <w:lang w:val="x-none" w:eastAsia="x-none"/>
    </w:rPr>
  </w:style>
  <w:style w:type="character" w:styleId="Style19">
    <w:name w:val="Основной текст_"/>
    <w:qFormat/>
    <w:rPr>
      <w:sz w:val="26"/>
      <w:szCs w:val="26"/>
    </w:rPr>
  </w:style>
  <w:style w:type="character" w:styleId="Style20">
    <w:name w:val="Ссылка указателя"/>
    <w:qFormat/>
    <w:rPr/>
  </w:style>
  <w:style w:type="character" w:styleId="Style21">
    <w:name w:val="Символ нумерации"/>
    <w:qFormat/>
    <w:rPr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Character20style">
    <w:name w:val="Character_20_style"/>
    <w:qFormat/>
    <w:rPr/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</w:rPr>
  </w:style>
  <w:style w:type="paragraph" w:styleId="Caption1">
    <w:name w:val="caption1"/>
    <w:basedOn w:val="Normal"/>
    <w:qFormat/>
    <w:pPr/>
    <w:rPr>
      <w:rFonts w:eastAsia="Calibri"/>
      <w:b/>
      <w:bCs/>
      <w:color w:val="4F81BD"/>
      <w:sz w:val="18"/>
      <w:szCs w:val="18"/>
    </w:rPr>
  </w:style>
  <w:style w:type="paragraph" w:styleId="Indexheading1">
    <w:name w:val="index heading1"/>
    <w:basedOn w:val="Title"/>
    <w:qFormat/>
    <w:pPr/>
    <w:rPr/>
  </w:style>
  <w:style w:type="paragraph" w:styleId="Style24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5">
    <w:name w:val="Раздел положения"/>
    <w:basedOn w:val="Normal"/>
    <w:autoRedefine/>
    <w:qFormat/>
    <w:pPr>
      <w:spacing w:before="80" w:after="80"/>
      <w:jc w:val="center"/>
    </w:pPr>
    <w:rPr>
      <w:b/>
      <w:sz w:val="32"/>
      <w:szCs w:val="32"/>
    </w:rPr>
  </w:style>
  <w:style w:type="paragraph" w:styleId="Style26">
    <w:name w:val="Подраздел раздела положения"/>
    <w:basedOn w:val="Normal"/>
    <w:autoRedefine/>
    <w:qFormat/>
    <w:pPr>
      <w:spacing w:before="80" w:after="8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4">
    <w:name w:val="Шапка 1"/>
    <w:basedOn w:val="Normal"/>
    <w:qFormat/>
    <w:pPr>
      <w:pBdr>
        <w:bottom w:val="thickThinSmallGap" w:sz="24" w:space="1" w:color="000001"/>
      </w:pBdr>
      <w:spacing w:before="0" w:after="240"/>
      <w:jc w:val="center"/>
    </w:pPr>
    <w:rPr>
      <w:sz w:val="22"/>
      <w:szCs w:val="22"/>
    </w:rPr>
  </w:style>
  <w:style w:type="paragraph" w:styleId="23">
    <w:name w:val="Шапка 2"/>
    <w:basedOn w:val="Normal"/>
    <w:qFormat/>
    <w:pPr>
      <w:pBdr>
        <w:bottom w:val="thickThinSmallGap" w:sz="24" w:space="1" w:color="000001"/>
      </w:pBdr>
      <w:spacing w:before="0" w:after="120"/>
      <w:jc w:val="center"/>
    </w:pPr>
    <w:rPr>
      <w:b/>
      <w:sz w:val="22"/>
      <w:szCs w:val="22"/>
    </w:rPr>
  </w:style>
  <w:style w:type="paragraph" w:styleId="34">
    <w:name w:val="Шапка 3"/>
    <w:basedOn w:val="Normal"/>
    <w:qFormat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styleId="15">
    <w:name w:val="Название1"/>
    <w:basedOn w:val="Normal"/>
    <w:qFormat/>
    <w:pPr>
      <w:jc w:val="center"/>
    </w:pPr>
    <w:rPr>
      <w:szCs w:val="20"/>
      <w:lang w:val="x-none" w:eastAsia="x-none"/>
    </w:rPr>
  </w:style>
  <w:style w:type="paragraph" w:styleId="Style27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right="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8">
    <w:name w:val="Подпункт"/>
    <w:basedOn w:val="Normal"/>
    <w:qFormat/>
    <w:pPr>
      <w:tabs>
        <w:tab w:val="clear" w:pos="408"/>
        <w:tab w:val="left" w:pos="1134" w:leader="none"/>
      </w:tabs>
      <w:snapToGrid w:val="false"/>
      <w:spacing w:lineRule="auto" w:line="360"/>
      <w:ind w:left="1134" w:right="0" w:hanging="1134"/>
      <w:jc w:val="both"/>
    </w:pPr>
    <w:rPr>
      <w:szCs w:val="20"/>
      <w:lang w:val="x-none" w:eastAsia="x-none"/>
    </w:rPr>
  </w:style>
  <w:style w:type="paragraph" w:styleId="24">
    <w:name w:val="Пункт2"/>
    <w:basedOn w:val="Normal"/>
    <w:qFormat/>
    <w:pPr>
      <w:keepNext w:val="true"/>
      <w:numPr>
        <w:ilvl w:val="0"/>
        <w:numId w:val="0"/>
      </w:numPr>
      <w:tabs>
        <w:tab w:val="clear" w:pos="408"/>
        <w:tab w:val="left" w:pos="1134" w:leader="none"/>
      </w:tabs>
      <w:snapToGrid w:val="false"/>
      <w:spacing w:before="240" w:after="120"/>
      <w:ind w:left="1134" w:right="0" w:hanging="1134"/>
      <w:outlineLvl w:val="2"/>
    </w:pPr>
    <w:rPr>
      <w:b/>
      <w:szCs w:val="20"/>
    </w:rPr>
  </w:style>
  <w:style w:type="paragraph" w:styleId="TOC1">
    <w:name w:val="TOC 1"/>
    <w:basedOn w:val="Normal"/>
    <w:autoRedefine/>
    <w:pPr>
      <w:tabs>
        <w:tab w:val="clear" w:pos="408"/>
        <w:tab w:val="left" w:pos="560" w:leader="none"/>
        <w:tab w:val="right" w:pos="9911" w:leader="dot"/>
      </w:tabs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autoRedefine/>
    <w:pPr>
      <w:ind w:left="280" w:right="0" w:hanging="0"/>
    </w:pPr>
    <w:rPr>
      <w:rFonts w:cs="Calibri"/>
      <w:sz w:val="20"/>
      <w:szCs w:val="20"/>
    </w:rPr>
  </w:style>
  <w:style w:type="paragraph" w:styleId="Style29">
    <w:name w:val="Раздел регламента"/>
    <w:basedOn w:val="Normal"/>
    <w:qFormat/>
    <w:pPr/>
    <w:rPr/>
  </w:style>
  <w:style w:type="paragraph" w:styleId="Style30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16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autoRedefine/>
    <w:pPr>
      <w:ind w:left="1960" w:right="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autoRedefine/>
    <w:pPr>
      <w:ind w:left="840" w:right="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autoRedefine/>
    <w:pPr>
      <w:ind w:left="560" w:right="0" w:hanging="0"/>
    </w:pPr>
    <w:rPr>
      <w:rFonts w:cs="Calibri"/>
      <w:sz w:val="20"/>
      <w:szCs w:val="20"/>
    </w:rPr>
  </w:style>
  <w:style w:type="paragraph" w:styleId="25">
    <w:name w:val="Раздел положения 2"/>
    <w:basedOn w:val="Normal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Style3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qFormat/>
    <w:pPr>
      <w:ind w:left="1066" w:right="0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2"/>
    <w:pPr/>
    <w:rPr/>
  </w:style>
  <w:style w:type="paragraph" w:styleId="TOCHeading">
    <w:name w:val="TOC Heading"/>
    <w:basedOn w:val="Heading1"/>
    <w:qFormat/>
    <w:pPr>
      <w:keepLines/>
      <w:spacing w:before="480" w:after="60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qFormat/>
    <w:pPr/>
    <w:rPr>
      <w:rFonts w:eastAsia="Calibri"/>
      <w:sz w:val="24"/>
      <w:szCs w:val="24"/>
      <w:lang w:val="x-none" w:eastAsia="x-none"/>
    </w:rPr>
  </w:style>
  <w:style w:type="paragraph" w:styleId="Style32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Нумерованный список ур3"/>
    <w:basedOn w:val="Normal"/>
    <w:qFormat/>
    <w:p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>
    <w:name w:val="Нумерованный список ур2"/>
    <w:basedOn w:val="Normal"/>
    <w:qFormat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4"/>
      <w:szCs w:val="24"/>
      <w:lang w:val="ru-RU" w:eastAsia="ru-RU" w:bidi="ar-SA"/>
    </w:rPr>
  </w:style>
  <w:style w:type="paragraph" w:styleId="ConsPlusNormal">
    <w:name w:val="ConsPlusNormal"/>
    <w:qFormat/>
    <w:pPr>
      <w:widowControl w:val="false"/>
      <w:suppressAutoHyphens w:val="true"/>
      <w:overflowPunct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00000A"/>
      <w:kern w:val="0"/>
      <w:sz w:val="28"/>
      <w:szCs w:val="20"/>
      <w:lang w:val="ru-RU" w:eastAsia="ru-RU" w:bidi="ar-SA"/>
    </w:rPr>
  </w:style>
  <w:style w:type="paragraph" w:styleId="36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3">
    <w:name w:val="Пункт"/>
    <w:basedOn w:val="Normal"/>
    <w:qFormat/>
    <w:pPr>
      <w:widowControl w:val="false"/>
      <w:tabs>
        <w:tab w:val="clear" w:pos="4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>
    <w:name w:val="Абзац списка1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4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5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6">
    <w:name w:val="Подподпункт"/>
    <w:basedOn w:val="Style28"/>
    <w:qFormat/>
    <w:pPr>
      <w:tabs>
        <w:tab w:val="left" w:pos="1134" w:leader="none"/>
        <w:tab w:val="left" w:pos="5104" w:leader="none"/>
      </w:tabs>
      <w:snapToGrid w:val="true"/>
      <w:spacing w:lineRule="auto" w:line="240" w:before="120" w:after="0"/>
      <w:ind w:left="5104" w:right="0" w:hanging="567"/>
    </w:pPr>
    <w:rPr>
      <w:sz w:val="26"/>
      <w:szCs w:val="26"/>
      <w:lang w:val="ru-RU" w:eastAsia="ru-RU"/>
    </w:rPr>
  </w:style>
  <w:style w:type="paragraph" w:styleId="Style37">
    <w:name w:val="УРОВЕНЬ_(а)"/>
    <w:basedOn w:val="ListParagraph"/>
    <w:qFormat/>
    <w:pPr>
      <w:numPr>
        <w:ilvl w:val="0"/>
        <w:numId w:val="0"/>
      </w:numPr>
      <w:spacing w:lineRule="exact" w:line="360" w:before="120" w:after="0"/>
      <w:ind w:left="720" w:right="0" w:hanging="0"/>
      <w:contextualSpacing/>
      <w:jc w:val="both"/>
      <w:outlineLvl w:val="3"/>
    </w:pPr>
    <w:rPr>
      <w:sz w:val="26"/>
      <w:szCs w:val="28"/>
      <w:lang w:eastAsia="en-US"/>
    </w:rPr>
  </w:style>
  <w:style w:type="paragraph" w:styleId="-">
    <w:name w:val="УРОВЕНЬ_-"/>
    <w:basedOn w:val="ListParagraph"/>
    <w:qFormat/>
    <w:pPr>
      <w:numPr>
        <w:ilvl w:val="0"/>
        <w:numId w:val="0"/>
      </w:numPr>
      <w:spacing w:lineRule="exact" w:line="360" w:before="120" w:after="0"/>
      <w:ind w:left="720" w:right="0" w:hanging="0"/>
      <w:contextualSpacing/>
      <w:jc w:val="both"/>
      <w:outlineLvl w:val="4"/>
    </w:pPr>
    <w:rPr>
      <w:sz w:val="26"/>
      <w:szCs w:val="28"/>
      <w:lang w:eastAsia="en-US"/>
    </w:rPr>
  </w:style>
  <w:style w:type="paragraph" w:styleId="27">
    <w:name w:val="УРОВЕНЬ_Абзац_тип2"/>
    <w:basedOn w:val="ListParagraph"/>
    <w:qFormat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7">
    <w:name w:val="УРОВЕНЬ_Абзац_тип3"/>
    <w:basedOn w:val="ListParagraph"/>
    <w:qFormat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38">
    <w:name w:val="УРОВЕНЬ_Подпись"/>
    <w:basedOn w:val="ListParagraph"/>
    <w:qFormat/>
    <w:pPr>
      <w:keepNext w:val="true"/>
      <w:numPr>
        <w:ilvl w:val="0"/>
        <w:numId w:val="0"/>
      </w:numPr>
      <w:spacing w:lineRule="exact" w:line="360" w:before="120" w:after="120"/>
      <w:ind w:left="720" w:right="0" w:hanging="0"/>
      <w:contextualSpacing/>
      <w:jc w:val="right"/>
      <w:outlineLvl w:val="3"/>
    </w:pPr>
    <w:rPr>
      <w:sz w:val="26"/>
      <w:szCs w:val="28"/>
      <w:lang w:eastAsia="en-US"/>
    </w:rPr>
  </w:style>
  <w:style w:type="paragraph" w:styleId="18">
    <w:name w:val="Стиль Заголовок 1 + по ширине"/>
    <w:basedOn w:val="Heading1"/>
    <w:qFormat/>
    <w:pPr>
      <w:keepLines/>
      <w:tabs>
        <w:tab w:val="clear" w:pos="408"/>
        <w:tab w:val="left" w:pos="567" w:leader="none"/>
      </w:tabs>
      <w:spacing w:before="480" w:after="240"/>
      <w:ind w:left="567" w:right="0" w:hanging="567"/>
    </w:pPr>
    <w:rPr>
      <w:rFonts w:ascii="Arial" w:hAnsi="Arial" w:eastAsia="Times New Roman"/>
      <w:bCs/>
      <w:sz w:val="40"/>
      <w:szCs w:val="20"/>
      <w:lang w:eastAsia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>
    <w:name w:val="Заголовок 2 КВВ"/>
    <w:basedOn w:val="Normal"/>
    <w:qFormat/>
    <w:pPr>
      <w:keepNext w:val="true"/>
      <w:numPr>
        <w:ilvl w:val="0"/>
        <w:numId w:val="0"/>
      </w:numPr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39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>
    <w:name w:val="УРОВЕНЬ_1."/>
    <w:basedOn w:val="ListParagraph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righ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autoRedefine/>
    <w:pPr>
      <w:ind w:left="1120" w:right="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autoRedefine/>
    <w:pPr>
      <w:ind w:left="1400" w:right="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autoRedefine/>
    <w:pPr>
      <w:ind w:left="1680" w:right="0" w:hanging="0"/>
    </w:pPr>
    <w:rPr>
      <w:rFonts w:ascii="Calibri" w:hAnsi="Calibri" w:cs="Calibri"/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Calibri" w:hAnsi="Calibri" w:eastAsia="Times New Roman" w:cs="Calibri"/>
      <w:b/>
      <w:color w:val="00000A"/>
      <w:kern w:val="0"/>
      <w:sz w:val="22"/>
      <w:szCs w:val="20"/>
      <w:lang w:val="ru-RU" w:eastAsia="ru-RU" w:bidi="ar-SA"/>
    </w:rPr>
  </w:style>
  <w:style w:type="paragraph" w:styleId="ListNumber">
    <w:name w:val="List Number"/>
    <w:basedOn w:val="Normal"/>
    <w:qFormat/>
    <w:pPr>
      <w:spacing w:lineRule="auto" w:line="360" w:before="60" w:after="0"/>
      <w:jc w:val="both"/>
    </w:pPr>
    <w:rPr/>
  </w:style>
  <w:style w:type="paragraph" w:styleId="Style40">
    <w:name w:val="Обычный+ без отступа"/>
    <w:basedOn w:val="Normal"/>
    <w:qFormat/>
    <w:pPr>
      <w:spacing w:lineRule="auto" w:line="360" w:before="120" w:after="0"/>
      <w:jc w:val="both"/>
    </w:pPr>
    <w:rPr>
      <w:rFonts w:eastAsia="MS Mincho"/>
    </w:rPr>
  </w:style>
  <w:style w:type="paragraph" w:styleId="Style41">
    <w:name w:val="Текст таблицы"/>
    <w:basedOn w:val="Normal"/>
    <w:qFormat/>
    <w:pPr>
      <w:spacing w:before="40" w:after="40"/>
      <w:ind w:left="57" w:right="57" w:hanging="0"/>
    </w:pPr>
    <w:rPr>
      <w:sz w:val="24"/>
      <w:szCs w:val="24"/>
    </w:rPr>
  </w:style>
  <w:style w:type="paragraph" w:styleId="Style42">
    <w:name w:val="Пункт Знак"/>
    <w:basedOn w:val="Normal"/>
    <w:qFormat/>
    <w:pPr>
      <w:tabs>
        <w:tab w:val="clear" w:pos="408"/>
        <w:tab w:val="left" w:pos="851" w:leader="none"/>
        <w:tab w:val="left" w:pos="1134" w:leader="none"/>
        <w:tab w:val="left" w:pos="1844" w:leader="none"/>
      </w:tabs>
      <w:spacing w:lineRule="auto" w:line="360"/>
      <w:ind w:left="1844" w:right="0" w:hanging="567"/>
      <w:jc w:val="both"/>
    </w:pPr>
    <w:rPr>
      <w:b/>
      <w:szCs w:val="20"/>
    </w:rPr>
  </w:style>
  <w:style w:type="paragraph" w:styleId="Style43">
    <w:name w:val="Подподподпункт"/>
    <w:basedOn w:val="Normal"/>
    <w:qFormat/>
    <w:pPr>
      <w:tabs>
        <w:tab w:val="clear" w:pos="408"/>
        <w:tab w:val="left" w:pos="1134" w:leader="none"/>
        <w:tab w:val="left" w:pos="1701" w:leader="none"/>
      </w:tabs>
      <w:spacing w:lineRule="auto" w:line="360"/>
      <w:ind w:left="1718" w:right="0" w:hanging="1008"/>
      <w:jc w:val="both"/>
    </w:pPr>
    <w:rPr>
      <w:szCs w:val="20"/>
    </w:rPr>
  </w:style>
  <w:style w:type="paragraph" w:styleId="110">
    <w:name w:val="Пункт1"/>
    <w:basedOn w:val="Normal"/>
    <w:qFormat/>
    <w:pPr>
      <w:tabs>
        <w:tab w:val="clear" w:pos="408"/>
        <w:tab w:val="left" w:pos="567" w:leader="none"/>
      </w:tabs>
      <w:spacing w:lineRule="auto" w:line="360" w:before="240" w:after="0"/>
      <w:ind w:left="567" w:right="0" w:hanging="279"/>
      <w:jc w:val="center"/>
    </w:pPr>
    <w:rPr>
      <w:rFonts w:ascii="Arial" w:hAnsi="Arial"/>
      <w:b/>
    </w:rPr>
  </w:style>
  <w:style w:type="paragraph" w:styleId="38">
    <w:name w:val="Пункт_3"/>
    <w:basedOn w:val="Normal"/>
    <w:qFormat/>
    <w:pPr>
      <w:tabs>
        <w:tab w:val="clear" w:pos="408"/>
        <w:tab w:val="left" w:pos="1134" w:leader="none"/>
      </w:tabs>
      <w:spacing w:lineRule="auto" w:line="360"/>
      <w:ind w:left="1134" w:right="0" w:hanging="1133"/>
      <w:jc w:val="both"/>
    </w:pPr>
    <w:rPr>
      <w:szCs w:val="20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Style44">
    <w:name w:val="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2">
    <w:name w:val="УРОВЕНЬ_1.1."/>
    <w:basedOn w:val="ListParagraph"/>
    <w:qFormat/>
    <w:pPr>
      <w:keepNext w:val="true"/>
      <w:numPr>
        <w:ilvl w:val="0"/>
        <w:numId w:val="0"/>
      </w:numPr>
      <w:tabs>
        <w:tab w:val="clear" w:pos="408"/>
        <w:tab w:val="left" w:pos="1844" w:leader="none"/>
      </w:tabs>
      <w:spacing w:lineRule="exact" w:line="360" w:before="240" w:after="0"/>
      <w:ind w:left="1844" w:right="0" w:hanging="567"/>
      <w:contextualSpacing/>
      <w:jc w:val="both"/>
      <w:outlineLvl w:val="1"/>
    </w:pPr>
    <w:rPr>
      <w:b/>
      <w:sz w:val="26"/>
      <w:szCs w:val="28"/>
      <w:lang w:eastAsia="en-US"/>
    </w:rPr>
  </w:style>
  <w:style w:type="paragraph" w:styleId="1111">
    <w:name w:val="УРОВЕНЬ_1.1.1."/>
    <w:basedOn w:val="ListParagraph"/>
    <w:qFormat/>
    <w:pPr>
      <w:numPr>
        <w:ilvl w:val="0"/>
        <w:numId w:val="0"/>
      </w:numPr>
      <w:spacing w:lineRule="exact" w:line="360" w:before="120" w:after="0"/>
      <w:ind w:left="1134" w:right="0" w:hanging="1134"/>
      <w:contextualSpacing/>
      <w:jc w:val="both"/>
      <w:outlineLvl w:val="2"/>
    </w:pPr>
    <w:rPr>
      <w:sz w:val="26"/>
      <w:szCs w:val="28"/>
      <w:lang w:eastAsia="en-US"/>
    </w:rPr>
  </w:style>
  <w:style w:type="paragraph" w:styleId="113">
    <w:name w:val="УРОВЕНЬ_Абзац_тип1"/>
    <w:basedOn w:val="ListParagraph"/>
    <w:qFormat/>
    <w:pPr>
      <w:tabs>
        <w:tab w:val="clear" w:pos="408"/>
        <w:tab w:val="left" w:pos="2592" w:leader="none"/>
      </w:tabs>
      <w:spacing w:lineRule="exact" w:line="360" w:before="120" w:after="0"/>
      <w:ind w:left="2592" w:right="0" w:hanging="1152"/>
      <w:contextualSpacing/>
      <w:jc w:val="both"/>
    </w:pPr>
    <w:rPr>
      <w:sz w:val="26"/>
      <w:szCs w:val="28"/>
      <w:lang w:eastAsia="en-US"/>
    </w:rPr>
  </w:style>
  <w:style w:type="paragraph" w:styleId="39">
    <w:name w:val="Список мн 3"/>
    <w:basedOn w:val="BodyTextIndent"/>
    <w:qFormat/>
    <w:pPr>
      <w:numPr>
        <w:ilvl w:val="0"/>
        <w:numId w:val="0"/>
      </w:numPr>
      <w:shd w:val="clear" w:fill="FFFFFF"/>
      <w:tabs>
        <w:tab w:val="clear" w:pos="408"/>
        <w:tab w:val="left" w:pos="1341" w:leader="none"/>
      </w:tabs>
      <w:spacing w:before="120" w:after="60"/>
      <w:ind w:left="-20" w:right="0" w:firstLine="720"/>
      <w:jc w:val="both"/>
      <w:outlineLvl w:val="2"/>
    </w:pPr>
    <w:rPr>
      <w:spacing w:val="-4"/>
      <w:lang w:val="x-none" w:eastAsia="x-none"/>
    </w:rPr>
  </w:style>
  <w:style w:type="paragraph" w:styleId="29">
    <w:name w:val="Основной текст2"/>
    <w:basedOn w:val="Normal"/>
    <w:qFormat/>
    <w:pPr>
      <w:widowControl w:val="false"/>
      <w:shd w:val="clear" w:fill="FFFFFF"/>
      <w:spacing w:lineRule="exact" w:line="295"/>
      <w:jc w:val="both"/>
    </w:pPr>
    <w:rPr>
      <w:sz w:val="26"/>
      <w:szCs w:val="26"/>
    </w:rPr>
  </w:style>
  <w:style w:type="paragraph" w:styleId="Style45">
    <w:name w:val="Содержимое врезки"/>
    <w:basedOn w:val="Normal"/>
    <w:qFormat/>
    <w:pPr/>
    <w:rPr/>
  </w:style>
  <w:style w:type="paragraph" w:styleId="Style46">
    <w:name w:val="Содержимое таблицы"/>
    <w:basedOn w:val="Normal"/>
    <w:qFormat/>
    <w:pPr/>
    <w:rPr/>
  </w:style>
  <w:style w:type="paragraph" w:styleId="DStyleparagraph">
    <w:name w:val="DStyle_paragraph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00000A"/>
      <w:kern w:val="0"/>
      <w:sz w:val="26"/>
      <w:szCs w:val="22"/>
      <w:lang w:val="ru-RU" w:eastAsia="en-US" w:bidi="ar-SA"/>
    </w:rPr>
  </w:style>
  <w:style w:type="paragraph" w:styleId="Standard">
    <w:name w:val="Standard"/>
    <w:basedOn w:val="DStyleparagraph"/>
    <w:qFormat/>
    <w:pPr>
      <w:spacing w:before="60" w:after="0"/>
      <w:jc w:val="both"/>
    </w:pPr>
    <w:rPr>
      <w:rFonts w:ascii="Times New Roman" w:hAnsi="Times New Roman" w:eastAsia="Times New Roman" w:cs="Times New Roman"/>
      <w:color w:val="00000A"/>
      <w:szCs w:val="20"/>
      <w:lang w:eastAsia="ru-RU"/>
    </w:rPr>
  </w:style>
  <w:style w:type="paragraph" w:styleId="Style47">
    <w:name w:val="По умолчанию"/>
    <w:basedOn w:val="DStyleparagraph"/>
    <w:qFormat/>
    <w:pPr/>
    <w:rPr>
      <w:rFonts w:ascii="Helvetica Neue" w:hAnsi="Helvetica Neue" w:eastAsia="Arial Unicode MS" w:cs="Arial Unicode MS"/>
      <w:color w:val="000000"/>
      <w:sz w:val="21"/>
      <w:szCs w:val="21"/>
      <w:lang w:eastAsia="ru-RU"/>
    </w:rPr>
  </w:style>
  <w:style w:type="paragraph" w:styleId="Style48">
    <w:name w:val="Заголовок таблицы"/>
    <w:basedOn w:val="Style46"/>
    <w:qFormat/>
    <w:pPr/>
    <w:rPr/>
  </w:style>
  <w:style w:type="paragraph" w:styleId="--">
    <w:name w:val="-=ТЭП Основной текст=-"/>
    <w:basedOn w:val="Normal"/>
    <w:qFormat/>
    <w:pPr>
      <w:widowControl w:val="false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Arial"/>
      <w:color w:val="000000"/>
      <w:sz w:val="24"/>
      <w:szCs w:val="18"/>
      <w:lang w:eastAsia="ru-RU"/>
    </w:rPr>
  </w:style>
  <w:style w:type="numbering" w:styleId="114">
    <w:name w:val="Стиль1"/>
    <w:qFormat/>
  </w:style>
  <w:style w:type="numbering" w:styleId="210">
    <w:name w:val="Стиль2"/>
    <w:qFormat/>
  </w:style>
  <w:style w:type="numbering" w:styleId="2633988551">
    <w:name w:val="2633988551"/>
    <w:qFormat/>
  </w:style>
  <w:style w:type="numbering" w:styleId="21569409131">
    <w:name w:val="21569409131"/>
    <w:qFormat/>
  </w:style>
  <w:style w:type="numbering" w:styleId="26984087541">
    <w:name w:val="26984087541"/>
    <w:qFormat/>
  </w:style>
  <w:style w:type="numbering" w:styleId="3408659331">
    <w:name w:val="340865933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yperlink" Target="smb://172.21.1.6/investment/pid-6877/12.05.2022)" TargetMode="External"/><Relationship Id="rId4" Type="http://schemas.openxmlformats.org/officeDocument/2006/relationships/hyperlink" Target="smb://172.21.1.6/investment/pid-6877/01.05.2022)" TargetMode="External"/><Relationship Id="rId5" Type="http://schemas.openxmlformats.org/officeDocument/2006/relationships/hyperlink" Target="smb://172.21.1.6/investment/pid-6877/26.03.2022)" TargetMode="External"/><Relationship Id="rId6" Type="http://schemas.openxmlformats.org/officeDocument/2006/relationships/hyperlink" Target="smb://172.21.1.6/investment/pid-6877/12.05.2022)" TargetMode="External"/><Relationship Id="rId7" Type="http://schemas.openxmlformats.org/officeDocument/2006/relationships/hyperlink" Target="smb://172.21.1.6/investment/pid-6877/10.01.2022)" TargetMode="External"/><Relationship Id="rId8" Type="http://schemas.openxmlformats.org/officeDocument/2006/relationships/hyperlink" Target="smb://172.21.1.6/investment/pid-6877/&#1088;&#1077;&#1075;&#1083;&#1072;&#1084;&#1077;&#1085;&#1090;&#1072;" TargetMode="External"/><Relationship Id="rId9" Type="http://schemas.openxmlformats.org/officeDocument/2006/relationships/hyperlink" Target="smb://172.21.1.6/investment/pid-6877/&#1088;&#1077;&#1075;&#1083;&#1072;&#1084;&#1077;&#1085;&#1090;&#1072;" TargetMode="External"/><Relationship Id="rId10" Type="http://schemas.openxmlformats.org/officeDocument/2006/relationships/hyperlink" Target="smb://172.21.1.6/investment/pid-6877/30.06.2013)" TargetMode="External"/><Relationship Id="rId11" Type="http://schemas.openxmlformats.org/officeDocument/2006/relationships/hyperlink" Target="http://docs2.kodeks.ru/document/456042686" TargetMode="External"/><Relationship Id="rId12" Type="http://schemas.openxmlformats.org/officeDocument/2006/relationships/hyperlink" Target="smb://172.21.1.6/investment/pid-6877/01.03.2020" TargetMode="External"/><Relationship Id="rId13" Type="http://schemas.openxmlformats.org/officeDocument/2006/relationships/hyperlink" Target="smb://172.21.1.6/investment/pid-6877/01.09.2015" TargetMode="External"/><Relationship Id="rId14" Type="http://schemas.openxmlformats.org/officeDocument/2006/relationships/hyperlink" Target="smb://172.21.1.6/investment/pid-6877/01.09.2015" TargetMode="External"/><Relationship Id="rId15" Type="http://schemas.openxmlformats.org/officeDocument/2006/relationships/hyperlink" Target="smb://172.21.1.6/investment/pid-6877/07.03.2021" TargetMode="External"/><Relationship Id="rId16" Type="http://schemas.openxmlformats.org/officeDocument/2006/relationships/header" Target="header2.xml"/><Relationship Id="rId17" Type="http://schemas.openxmlformats.org/officeDocument/2006/relationships/header" Target="header3.xml"/><Relationship Id="rId18" Type="http://schemas.openxmlformats.org/officeDocument/2006/relationships/header" Target="header4.xml"/><Relationship Id="rId19" Type="http://schemas.openxmlformats.org/officeDocument/2006/relationships/header" Target="header5.xml"/><Relationship Id="rId20" Type="http://schemas.openxmlformats.org/officeDocument/2006/relationships/numbering" Target="numbering.xml"/><Relationship Id="rId21" Type="http://schemas.openxmlformats.org/officeDocument/2006/relationships/fontTable" Target="fontTable.xml"/><Relationship Id="rId2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Application>AlterOffice/3.4.0.6$Linux_X86_64 LibreOffice_project/ad8c41dce69105450bf791d4900d64b1f82e10d0</Application>
  <AppVersion>15.0000</AppVersion>
  <Pages>13</Pages>
  <Words>5076</Words>
  <Characters>36119</Characters>
  <CharactersWithSpaces>40715</CharactersWithSpaces>
  <Paragraphs>468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2023-12-15T07:19:00Z</dcterms:created>
  <dc:creator>Быстров Олег Геннадьевич</dc:creator>
  <dc:description/>
  <dc:language>ru-RU</dc:language>
  <cp:lastModifiedBy>mozzhuhin_dyu</cp:lastModifiedBy>
  <cp:lastPrinted>2025-07-17T12:11:55Z</cp:lastPrinted>
  <dcterms:modified xsi:type="dcterms:W3CDTF">2026-05-26T11:13:06Z</dcterms:modified>
  <cp:revision>65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